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styles.xml" ContentType="application/vnd.openxmlformats-officedocument.wordprocessingml.styles+xml"/>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 xml:space="preserve">A contribution of the 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6985" distL="0" distR="127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b/>
          <w:b/>
          <w:color w:val="808080" w:themeColor="background1" w:themeShade="80"/>
          <w:sz w:val="32"/>
          <w:szCs w:val="32"/>
          <w:lang w:val="en-GB"/>
        </w:rPr>
      </w:pPr>
      <w:r>
        <w:rPr>
          <w:rFonts w:ascii="Calibri" w:hAnsi="Calibri" w:asciiTheme="majorHAnsi" w:hAnsiTheme="majorHAnsi"/>
          <w:b/>
          <w:color w:val="808080" w:themeColor="background1" w:themeShade="80"/>
          <w:sz w:val="32"/>
          <w:szCs w:val="32"/>
          <w:lang w:val="en-GB"/>
        </w:rPr>
        <w:t>A contribution of the 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17039161"/>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08"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 (LMICs), most of Sub-Saharan African countries in particular, still bear most of the worldwide infectious disease burden. In those countries, poorest individuals concentrate most of the infectious disease morbidity and mortality burden,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to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During the last decades, the 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 During the last decades several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work focuses on 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uncommunicable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 (VL) is a life-threatening NTD with an estimated annual incidence of 389,100 cases worldwide (year 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Unfortunately, 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Malaria is a parasitic disease transmitted by mosquitoes. In 2015 the estimated global burden of malaria reached 212 million cases and 429,000 related deaths, most of them occurring in Sub-Saharan Africa. Effective treatments and preventive measures to control malaria, such as insecticide impregnated bed nets, allowed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The international community is helping the country with the provision of effective treatments, diagnostic and preventive tools. This allowed decreasing the disease burden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and girls 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onsite.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 compared to Manhiça town; but positively associated with the household head working outside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By contrasting the estimated local demand and supply, the theoretical market cleared at a price of 0.70 U$ per uncomplicated malaria episode, unveiling that half the study sample could not afford to pay for the treatment at its market price. However, as estimated suppliers’ surplus was twice the consumers’, intervening 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average economic cost per dose for a demonstration HPV vaccination programme under a school-based approach in Manhiça district was 17.59 US$: 1.42 US$ were introduction, 15.64 US$ recurrent and 0.53 US$ were cold-chain costs. The programme fully immunised the 77% of the total target population, which consisted of 10-year-old girls receiving three doses. The vast majority of them 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of reaching girls at their houses as most of the non-immunised girls were absent or out-of-schools, but also due to certain district characteristics, such as the moderate population density, or the reduced number of health facilities and their large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 care is freely covered by the national health insurance in Morocco, but public health facilities still use invasive and low-effective tools for its diagnosis and treatment. The study findings concluded that the adoption of RDT and short-course L-AmB regimens were cost-effective strategies in comparison with current practices. Therefore, such strategies should be implemented to improve VL management in Morocco and, possibly, to 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unveiled a limiting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HPV vaccine demonstration programme (year 2014) in Manhiça was lower than the mean estimation reported for other similar demonstration programmes in LMICs; but higher was the cost per fully immunised girl. A more efficient use of the 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boosted the epidemiological transition worldwide 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r>
        <w:rPr>
          <w:rFonts w:ascii="Calibri" w:hAnsi="Calibri" w:asciiTheme="majorHAnsi" w:hAnsiTheme="majorHAnsi"/>
          <w:lang w:val="en-GB"/>
        </w:rPr>
        <w:t xml:space="preserve">. Non-communicable diseases represent two thirds of the global mortality and an increasing proportion of the 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6"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6"/>
      <w:r>
        <w:rPr>
          <w:rFonts w:ascii="Calibri" w:hAnsi="Calibri" w:asciiTheme="majorHAnsi" w:hAnsiTheme="majorHAnsi"/>
          <w:lang w:val="en-GB"/>
        </w:rPr>
        <w:t xml:space="preserve">. This is not only the case of high-income countries (HICs) but also of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7"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7"/>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8"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8"/>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9"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9"/>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main proportion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the 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0"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0"/>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1"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1"/>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2"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2"/>
      <w:r>
        <w:rPr>
          <w:rFonts w:ascii="Calibri" w:hAnsi="Calibri" w:asciiTheme="majorHAnsi" w:hAnsiTheme="majorHAnsi"/>
          <w:lang w:val="en-GB"/>
        </w:rPr>
        <w:t xml:space="preserve">. This has strong implications in terms of 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13"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13"/>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1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1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08"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127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the 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15"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15"/>
      <w:r>
        <w:rPr>
          <w:rFonts w:ascii="Calibri" w:hAnsi="Calibri" w:asciiTheme="majorHAnsi" w:hAnsiTheme="majorHAnsi"/>
          <w:lang w:val="en-GB"/>
        </w:rPr>
        <w:t xml:space="preserve">. They are transmitted to humans by different vectors, such as mosquitoes, sandflies, ticks or freshwater snails. Malaria, dengue, yellow fever, leishmaniasis and schistosomiasis are some of the most prevalent vector-borne diseases globally. Other infectious diseases are instead transmitted through direct contact between human beings. Therefore, these infections are strictly more linked to human behaviour than vector-borne diseases are. This is the case of human immunodeficiency virus (HIV), hepatitis and human papillomavirus (HPV), among many others. Interestingly, several infections are risk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16"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1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decades, due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17"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17"/>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18"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18"/>
      <w:r>
        <w:rPr>
          <w:rFonts w:ascii="Calibri" w:hAnsi="Calibri" w:asciiTheme="majorHAnsi" w:hAnsiTheme="majorHAnsi"/>
          <w:lang w:val="en-GB"/>
        </w:rPr>
        <w:t xml:space="preserve">. The international awareness on the 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political commitment is not exempt from problems of restricted donor countries’ contributions, as a consequence of external financial shocks or domestic political lobbing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19"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19"/>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20"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20"/>
      <w:r>
        <w:rPr>
          <w:rFonts w:ascii="Calibri" w:hAnsi="Calibri" w:asciiTheme="majorHAnsi" w:hAnsiTheme="majorHAnsi"/>
          <w:lang w:val="en-GB"/>
        </w:rPr>
        <w:t xml:space="preserve">. However, from 1990 until the economic recession of 2007 the international financial aid given by governments and international agencies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21"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21"/>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22"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22"/>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making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23"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23"/>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2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2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25"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25"/>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26"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26"/>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27"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2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28"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28"/>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29"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29"/>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30"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30"/>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31"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31"/>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32"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32"/>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33"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33"/>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3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3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35" w:name="_Toc382138183"/>
      <w:bookmarkEnd w:id="3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36"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36"/>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37"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37"/>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38"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38"/>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08"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12065" distL="0" distR="127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39"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39"/>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40"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40"/>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08"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41"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41"/>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42"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42"/>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43"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43"/>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44"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44"/>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4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4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46"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46"/>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47"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47"/>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48"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48"/>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49"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49"/>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50"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51"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51"/>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52"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52"/>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53"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53"/>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54"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54"/>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5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5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56"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5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57"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57"/>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58"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58"/>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59"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59"/>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60"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60"/>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61"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61"/>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62"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62"/>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63"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63"/>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64"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64"/>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6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6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66"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66"/>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67"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67"/>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68"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68"/>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69"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69"/>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70"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70"/>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71"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71"/>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72"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7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73"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73"/>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74"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74"/>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7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7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76"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76"/>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77"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77"/>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78" w:name="_Toc382138184"/>
      <w:bookmarkEnd w:id="78"/>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79"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79"/>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80"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8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08"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81"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81"/>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82"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82"/>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83"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83"/>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84"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84"/>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85"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85"/>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8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8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87"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87"/>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88"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88"/>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89"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89"/>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0" w:type="dxa"/>
        <w:tblCellMar>
          <w:top w:w="0" w:type="dxa"/>
          <w:left w:w="107" w:type="dxa"/>
          <w:bottom w:w="0" w:type="dxa"/>
          <w:right w:w="108" w:type="dxa"/>
        </w:tblCellMar>
        <w:tblLook w:val="04a0" w:noVBand="1" w:noHBand="0" w:lastColumn="0" w:firstColumn="1" w:lastRow="0" w:firstRow="1"/>
      </w:tblPr>
      <w:tblGrid>
        <w:gridCol w:w="1809"/>
        <w:gridCol w:w="3543"/>
        <w:gridCol w:w="3626"/>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shd w:color="auto" w:fill="auto" w:val="clear"/>
            <w:tcMar>
              <w:left w:w="10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10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3" w:type="dxa"/>
            <w:tcBorders/>
            <w:shd w:color="auto" w:fill="3366CC" w:val="clear"/>
            <w:tcMar>
              <w:left w:w="10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6" w:type="dxa"/>
            <w:tcBorders/>
            <w:shd w:color="auto" w:fill="3366CC" w:val="clear"/>
            <w:tcMar>
              <w:left w:w="10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10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3" w:type="dxa"/>
            <w:tcBorders>
              <w:top w:val="nil"/>
              <w:left w:val="nil"/>
              <w:bottom w:val="nil"/>
              <w:right w:val="nil"/>
              <w:insideH w:val="nil"/>
              <w:insideV w:val="nil"/>
            </w:tcBorders>
            <w:shd w:fill="auto" w:val="cle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6" w:type="dxa"/>
            <w:tcBorders>
              <w:top w:val="nil"/>
              <w:left w:val="nil"/>
              <w:bottom w:val="nil"/>
              <w:insideH w:val="nil"/>
            </w:tcBorders>
            <w:shd w:fill="auto" w:val="cle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10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3" w:type="dxa"/>
            <w:tcBorders/>
            <w:shd w:fill="auto" w:val="clear"/>
            <w:tcMar>
              <w:left w:w="10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6" w:type="dxa"/>
            <w:tcBorders/>
            <w:shd w:fill="auto" w:val="clear"/>
            <w:tcMar>
              <w:left w:w="10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10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3" w:type="dxa"/>
            <w:tcBorders>
              <w:top w:val="nil"/>
              <w:left w:val="nil"/>
              <w:right w:val="nil"/>
              <w:insideV w:val="nil"/>
            </w:tcBorders>
            <w:shd w:fill="auto" w:val="cle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6" w:type="dxa"/>
            <w:tcBorders>
              <w:top w:val="nil"/>
              <w:left w:val="nil"/>
            </w:tcBorders>
            <w:shd w:fill="auto" w:val="cle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90"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90"/>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91"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91"/>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92"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92"/>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93"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93"/>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94"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94"/>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95" w:name="_Toc382138185"/>
      <w:bookmarkEnd w:id="95"/>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96"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96"/>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9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9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98"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98"/>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99"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99"/>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08"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00"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00"/>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01"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01"/>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02"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0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03"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03"/>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04"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04"/>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105"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10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06"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06"/>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1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1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108"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108"/>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09"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09"/>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10"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10"/>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0" w:type="dxa"/>
        <w:tblCellMar>
          <w:top w:w="0" w:type="dxa"/>
          <w:left w:w="10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shd w:color="auto" w:fill="auto" w:val="clear"/>
            <w:tcMar>
              <w:left w:w="10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10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10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10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10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10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10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10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10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10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111"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111"/>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12"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1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113"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113"/>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114"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114"/>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115"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115"/>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116"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116"/>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11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11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118"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11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119"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119"/>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120"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12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121"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121"/>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122"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122"/>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123"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12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24" w:name="_Toc382138186"/>
      <w:bookmarkEnd w:id="124"/>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125"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125"/>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126"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126"/>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127"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127"/>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2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2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08"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129"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129"/>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130"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130"/>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131"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131"/>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132"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132"/>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133"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133"/>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134"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134"/>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135"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135"/>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136"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136"/>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137"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137"/>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13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13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139"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139"/>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140"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140"/>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141"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141"/>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142"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142"/>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143" w:name="_Toc382138187"/>
      <w:bookmarkEnd w:id="143"/>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144" w:name="_Toc382138188"/>
      <w:bookmarkEnd w:id="144"/>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145" w:name="_Toc382138189"/>
      <w:bookmarkEnd w:id="145"/>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146"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146"/>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147"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147"/>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148"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148"/>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08"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3175"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149"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149"/>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150"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150"/>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15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15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152"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152"/>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08"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1016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153" w:name="_Toc382138190"/>
      <w:bookmarkEnd w:id="153"/>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154" w:name="_Toc382138191"/>
      <w:bookmarkEnd w:id="154"/>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5" w:name="_Toc382138192"/>
      <w:bookmarkEnd w:id="155"/>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4a0" w:noVBand="1" w:noHBand="0" w:lastColumn="0" w:firstColumn="1" w:lastRow="0" w:firstRow="1"/>
      </w:tblPr>
      <w:tblGrid>
        <w:gridCol w:w="3419"/>
        <w:gridCol w:w="1788"/>
        <w:gridCol w:w="106"/>
        <w:gridCol w:w="1238"/>
        <w:gridCol w:w="1"/>
        <w:gridCol w:w="1200"/>
        <w:gridCol w:w="1"/>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HOSPITALIZATION COST</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CHR/CHP</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CHU</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Comments</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29.73</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35.67</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17.84</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35.67</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11.89</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35.67</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VL DIAGNOSTIC COST</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CHR/CHP</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CHU</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 xml:space="preserve">Private </w:t>
            </w:r>
          </w:p>
        </w:tc>
        <w:tc>
          <w:tcPr>
            <w:tcW w:w="25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Comments</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11.70</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11.70</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35.67</w:t>
            </w:r>
          </w:p>
        </w:tc>
        <w:tc>
          <w:tcPr>
            <w:tcW w:w="25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21.40</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21.40</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39.60</w:t>
            </w:r>
          </w:p>
        </w:tc>
        <w:tc>
          <w:tcPr>
            <w:tcW w:w="25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b/>
                <w:lang w:val="en-GB"/>
              </w:rPr>
              <w:t>VL TREATMENT COST</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CHR/CHP/CHU</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PHC</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Comments</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1.70</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1.70</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Source: Ministry of Health</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1.20</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1.20</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3.40</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3.40</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10.83</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Source: Ministère de la fonction publique</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1,733.26</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Source: Ministère de la fonction publique</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1,186.83</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Source: Ministère de la fonction publique</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1,895.00</w:t>
            </w:r>
          </w:p>
        </w:tc>
        <w:tc>
          <w:tcPr>
            <w:tcW w:w="370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OTHER DIAGNOSTIC TESTS COST</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CHU</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Comment</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8.56</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10.70</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6.42</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7.49</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6.42</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10.70</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14.27</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5.95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9.63</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59.45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26.75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6.42</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26.75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26.75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64.21</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32.10</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21.40</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21.40</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16.05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12.84</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16.05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8.56</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6.42</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4.28</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5.35</w:t>
            </w:r>
          </w:p>
        </w:tc>
        <w:tc>
          <w:tcPr>
            <w:tcW w:w="120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b/>
                <w:lang w:val="en-GB"/>
              </w:rPr>
              <w:t>OTHER TREATMENTS COST</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b/>
                <w:b/>
                <w:lang w:val="en-GB"/>
              </w:rPr>
            </w:pPr>
            <w:r>
              <w:rPr>
                <w:b/>
                <w:lang w:val="en-GB"/>
              </w:rPr>
              <w:t>Public price</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b/>
                <w:b/>
                <w:lang w:val="en-GB"/>
              </w:rPr>
            </w:pPr>
            <w:r>
              <w:rPr>
                <w:b/>
                <w:lang w:val="en-GB"/>
              </w:rPr>
              <w:t>Comment</w:t>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3.19</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1.86</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4.37</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6.78</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2.37</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9.50</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1.19</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3.35</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1.45</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14.46</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2.68</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2.54</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13.09</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5.70</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32.10</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31.39</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3.15</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1.09</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2.10</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1.59</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4.73</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1.47</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2.24</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7.88</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3.91</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8.74</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3.09</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11.52</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2.62</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4.03</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5.32</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0.88</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4.24</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5.46</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9.94</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33.06</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4.41</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2.93</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3.35</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68.61</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6.23</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4.64</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4.24</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19.73</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4.53</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3.41</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r>
        <w:trPr/>
        <w:tc>
          <w:tcPr>
            <w:tcW w:w="3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right"/>
              <w:rPr>
                <w:lang w:val="en-GB"/>
              </w:rPr>
            </w:pPr>
            <w:r>
              <w:rPr>
                <w:lang w:val="en-GB"/>
              </w:rPr>
              <w:t>1.39</w:t>
            </w:r>
          </w:p>
        </w:tc>
        <w:tc>
          <w:tcPr>
            <w:tcW w:w="494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4"/>
        <w:gridCol w:w="675"/>
        <w:gridCol w:w="1302"/>
      </w:tblGrid>
      <w:tr>
        <w:trPr>
          <w:trHeight w:val="300" w:hRule="atLeast"/>
        </w:trPr>
        <w:tc>
          <w:tcPr>
            <w:tcW w:w="1274"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2"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4" w:type="dx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2"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4" w:type="dx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2"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4" w:type="dx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2"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4" w:type="dx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2"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4" w:type="dx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2"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4" w:type="dx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2" w:type="dx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4"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2"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pStyle w:val="Normal"/>
        <w:rPr>
          <w:lang w:val="en-GB"/>
        </w:rPr>
      </w:pPr>
      <w:r>
        <w:rPr>
          <w:lang w:val="en-GB"/>
        </w:rPr>
      </w:r>
    </w:p>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spacing w:lineRule="auto" w:line="360"/>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0"/>
        <w:gridCol w:w="709"/>
        <w:gridCol w:w="825"/>
        <w:gridCol w:w="1045"/>
        <w:gridCol w:w="627"/>
        <w:gridCol w:w="253"/>
        <w:gridCol w:w="664"/>
        <w:gridCol w:w="709"/>
        <w:gridCol w:w="825"/>
        <w:gridCol w:w="1022"/>
        <w:gridCol w:w="626"/>
        <w:gridCol w:w="253"/>
        <w:gridCol w:w="927"/>
        <w:gridCol w:w="709"/>
        <w:gridCol w:w="926"/>
        <w:gridCol w:w="927"/>
        <w:gridCol w:w="107"/>
        <w:gridCol w:w="625"/>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39"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6"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89"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32"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0"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5"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2"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6"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7"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4" w:type="dxa"/>
            <w:gridSpan w:val="2"/>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5" w:type="dxa"/>
            <w:tcBorders>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5"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2"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4"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5"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2"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4"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5"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2"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4"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5"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2"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4"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5"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2"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4"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5"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2"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4"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0"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5"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5"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2"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6"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7"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4" w:type="dxa"/>
            <w:gridSpan w:val="2"/>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5"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0"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5"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5"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2"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6"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7"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4" w:type="dxa"/>
            <w:gridSpan w:val="2"/>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5"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0"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5"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2"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6"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7"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4" w:type="dxa"/>
            <w:gridSpan w:val="2"/>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5" w:type="dxa"/>
            <w:tcBorders>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rPr>
          <w:lang w:val="en-GB"/>
        </w:rPr>
      </w:pPr>
      <w:r>
        <w:rPr>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6" w:name="_Toc382138193"/>
      <w:bookmarkEnd w:id="156"/>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shd w:color="auto" w:fill="auto" w:val="clear"/>
            <w:vAlign w:val="bottom"/>
          </w:tcPr>
          <w:p>
            <w:pPr>
              <w:pStyle w:val="Normal"/>
              <w:rPr>
                <w:sz w:val="22"/>
                <w:szCs w:val="22"/>
                <w:lang w:val="en-GB"/>
              </w:rPr>
            </w:pPr>
            <w:r>
              <w:rPr>
                <w:sz w:val="22"/>
                <w:szCs w:val="22"/>
                <w:lang w:val="en-GB"/>
              </w:rPr>
              <w:t>2</w:t>
            </w:r>
          </w:p>
        </w:tc>
        <w:tc>
          <w:tcPr>
            <w:tcW w:w="955"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shd w:color="auto" w:fill="auto" w:val="clear"/>
            <w:vAlign w:val="bottom"/>
          </w:tcPr>
          <w:p>
            <w:pPr>
              <w:pStyle w:val="Normal"/>
              <w:rPr>
                <w:sz w:val="22"/>
                <w:szCs w:val="22"/>
                <w:lang w:val="en-GB"/>
              </w:rPr>
            </w:pPr>
            <w:r>
              <w:rPr>
                <w:sz w:val="22"/>
                <w:szCs w:val="22"/>
                <w:lang w:val="en-GB"/>
              </w:rPr>
              <w:t>Houda, 2011</w:t>
            </w:r>
          </w:p>
        </w:tc>
        <w:tc>
          <w:tcPr>
            <w:tcW w:w="10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shd w:color="auto" w:fill="auto" w:val="clear"/>
            <w:vAlign w:val="bottom"/>
          </w:tcPr>
          <w:p>
            <w:pPr>
              <w:pStyle w:val="Normal"/>
              <w:rPr>
                <w:sz w:val="22"/>
                <w:szCs w:val="22"/>
                <w:lang w:val="en-GB"/>
              </w:rPr>
            </w:pPr>
            <w:r>
              <w:rPr>
                <w:sz w:val="22"/>
                <w:szCs w:val="22"/>
                <w:lang w:val="en-GB"/>
              </w:rPr>
              <w:t>5.63</w:t>
            </w:r>
          </w:p>
        </w:tc>
        <w:tc>
          <w:tcPr>
            <w:tcW w:w="1312"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shd w:color="auto" w:fill="auto" w:val="clear"/>
            <w:vAlign w:val="bottom"/>
          </w:tcPr>
          <w:p>
            <w:pPr>
              <w:pStyle w:val="Normal"/>
              <w:rPr>
                <w:sz w:val="22"/>
                <w:szCs w:val="22"/>
                <w:lang w:val="en-GB"/>
              </w:rPr>
            </w:pPr>
            <w:r>
              <w:rPr>
                <w:sz w:val="22"/>
                <w:szCs w:val="22"/>
                <w:lang w:val="en-GB"/>
              </w:rPr>
            </w:r>
          </w:p>
        </w:tc>
        <w:tc>
          <w:tcPr>
            <w:tcW w:w="1036" w:type="dxa"/>
            <w:tcBorders/>
            <w:shd w:color="auto" w:fill="auto" w:val="clear"/>
            <w:vAlign w:val="bottom"/>
          </w:tcPr>
          <w:p>
            <w:pPr>
              <w:pStyle w:val="Normal"/>
              <w:rPr>
                <w:sz w:val="22"/>
                <w:szCs w:val="22"/>
                <w:lang w:val="en-GB"/>
              </w:rPr>
            </w:pPr>
            <w:r>
              <w:rPr>
                <w:sz w:val="22"/>
                <w:szCs w:val="22"/>
                <w:lang w:val="en-GB"/>
              </w:rPr>
              <w:t>58</w:t>
            </w:r>
          </w:p>
        </w:tc>
        <w:tc>
          <w:tcPr>
            <w:tcW w:w="955"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6"/>
        <w:gridCol w:w="1559"/>
        <w:gridCol w:w="956"/>
        <w:gridCol w:w="976"/>
        <w:gridCol w:w="1136"/>
      </w:tblGrid>
      <w:tr>
        <w:trPr>
          <w:trHeight w:val="280" w:hRule="atLeast"/>
        </w:trPr>
        <w:tc>
          <w:tcPr>
            <w:tcW w:w="297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59"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6" w:type="dxa"/>
            <w:tcBorders/>
            <w:shd w:color="auto" w:fill="auto" w:val="clear"/>
            <w:vAlign w:val="bottom"/>
          </w:tcPr>
          <w:p>
            <w:pPr>
              <w:pStyle w:val="Normal"/>
              <w:rPr>
                <w:sz w:val="22"/>
                <w:szCs w:val="22"/>
                <w:lang w:val="en-GB"/>
              </w:rPr>
            </w:pPr>
            <w:r>
              <w:rPr>
                <w:sz w:val="22"/>
                <w:szCs w:val="22"/>
                <w:lang w:val="en-GB"/>
              </w:rPr>
              <w:t>Kafetzis et al, 2005</w:t>
            </w:r>
          </w:p>
        </w:tc>
        <w:tc>
          <w:tcPr>
            <w:tcW w:w="1559"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6" w:type="dxa"/>
            <w:tcBorders/>
            <w:shd w:color="auto" w:fill="auto" w:val="clear"/>
            <w:vAlign w:val="bottom"/>
          </w:tcPr>
          <w:p>
            <w:pPr>
              <w:pStyle w:val="Normal"/>
              <w:rPr>
                <w:sz w:val="22"/>
                <w:szCs w:val="22"/>
                <w:lang w:val="en-GB"/>
              </w:rPr>
            </w:pPr>
            <w:r>
              <w:rPr>
                <w:sz w:val="22"/>
                <w:szCs w:val="22"/>
                <w:lang w:val="en-GB"/>
              </w:rPr>
              <w:t>Cascio et al, 2004</w:t>
            </w:r>
          </w:p>
        </w:tc>
        <w:tc>
          <w:tcPr>
            <w:tcW w:w="1559"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6" w:type="dxa"/>
            <w:tcBorders/>
            <w:shd w:color="auto" w:fill="auto" w:val="clear"/>
            <w:vAlign w:val="bottom"/>
          </w:tcPr>
          <w:p>
            <w:pPr>
              <w:pStyle w:val="Normal"/>
              <w:rPr>
                <w:sz w:val="22"/>
                <w:szCs w:val="22"/>
                <w:lang w:val="en-GB"/>
              </w:rPr>
            </w:pPr>
            <w:r>
              <w:rPr>
                <w:sz w:val="22"/>
                <w:szCs w:val="22"/>
                <w:lang w:val="en-GB"/>
              </w:rPr>
              <w:t>Syriopoulou et al, 2003</w:t>
            </w:r>
          </w:p>
        </w:tc>
        <w:tc>
          <w:tcPr>
            <w:tcW w:w="1559"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6" w:type="dxa"/>
            <w:tcBorders/>
            <w:shd w:color="auto" w:fill="auto" w:val="clear"/>
            <w:vAlign w:val="bottom"/>
          </w:tcPr>
          <w:p>
            <w:pPr>
              <w:pStyle w:val="Normal"/>
              <w:rPr>
                <w:sz w:val="22"/>
                <w:szCs w:val="22"/>
                <w:lang w:val="en-GB"/>
              </w:rPr>
            </w:pPr>
            <w:r>
              <w:rPr>
                <w:sz w:val="22"/>
                <w:szCs w:val="22"/>
                <w:lang w:val="en-GB"/>
              </w:rPr>
              <w:t>Davidson et al, 1999</w:t>
            </w:r>
          </w:p>
        </w:tc>
        <w:tc>
          <w:tcPr>
            <w:tcW w:w="1559"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6" w:type="dxa"/>
            <w:tcBorders/>
            <w:shd w:color="auto" w:fill="auto" w:val="clear"/>
            <w:vAlign w:val="bottom"/>
          </w:tcPr>
          <w:p>
            <w:pPr>
              <w:pStyle w:val="Normal"/>
              <w:rPr>
                <w:sz w:val="22"/>
                <w:szCs w:val="22"/>
                <w:lang w:val="en-GB"/>
              </w:rPr>
            </w:pPr>
            <w:r>
              <w:rPr>
                <w:sz w:val="22"/>
                <w:szCs w:val="22"/>
                <w:lang w:val="en-GB"/>
              </w:rPr>
              <w:t>Figueras Nadal et al, 2006</w:t>
            </w:r>
          </w:p>
        </w:tc>
        <w:tc>
          <w:tcPr>
            <w:tcW w:w="1559"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6"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59"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6" w:type="dxa"/>
            <w:tcBorders/>
            <w:shd w:color="auto" w:fill="auto" w:val="clear"/>
            <w:vAlign w:val="bottom"/>
          </w:tcPr>
          <w:p>
            <w:pPr>
              <w:pStyle w:val="Normal"/>
              <w:rPr>
                <w:sz w:val="22"/>
                <w:szCs w:val="22"/>
                <w:lang w:val="en-GB"/>
              </w:rPr>
            </w:pPr>
            <w:r>
              <w:rPr>
                <w:sz w:val="22"/>
                <w:szCs w:val="22"/>
                <w:lang w:val="en-GB"/>
              </w:rPr>
            </w:r>
          </w:p>
        </w:tc>
        <w:tc>
          <w:tcPr>
            <w:tcW w:w="1559" w:type="dxa"/>
            <w:tcBorders/>
            <w:shd w:color="auto" w:fill="auto" w:val="clear"/>
            <w:vAlign w:val="bottom"/>
          </w:tcPr>
          <w:p>
            <w:pPr>
              <w:pStyle w:val="Normal"/>
              <w:rPr>
                <w:sz w:val="22"/>
                <w:szCs w:val="22"/>
                <w:lang w:val="en-GB"/>
              </w:rPr>
            </w:pPr>
            <w:r>
              <w:rPr>
                <w:sz w:val="22"/>
                <w:szCs w:val="22"/>
                <w:lang w:val="en-GB"/>
              </w:rPr>
            </w:r>
          </w:p>
        </w:tc>
        <w:tc>
          <w:tcPr>
            <w:tcW w:w="95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0"/>
        <w:gridCol w:w="638"/>
        <w:gridCol w:w="327"/>
        <w:gridCol w:w="595"/>
        <w:gridCol w:w="1841"/>
        <w:gridCol w:w="993"/>
        <w:gridCol w:w="1348"/>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2"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1"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3"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0" w:type="dxa"/>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3"/>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1" w:type="dxa"/>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3" w:type="dxa"/>
            <w:vMerge w:val="continue"/>
            <w:tcBorders>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8" w:type="dxa"/>
            <w:vMerge w:val="continue"/>
            <w:tcBorders>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shd w:color="auto" w:fill="auto" w:val="clear"/>
            <w:vAlign w:val="bottom"/>
          </w:tcPr>
          <w:p>
            <w:pPr>
              <w:pStyle w:val="Normal"/>
              <w:spacing w:lineRule="auto" w:line="360"/>
              <w:rPr>
                <w:sz w:val="20"/>
                <w:szCs w:val="20"/>
                <w:lang w:val="en-GB"/>
              </w:rPr>
            </w:pPr>
            <w:r>
              <w:rPr>
                <w:sz w:val="20"/>
                <w:szCs w:val="20"/>
                <w:lang w:val="en-GB"/>
              </w:rPr>
              <w:t>252.22</w:t>
            </w:r>
          </w:p>
        </w:tc>
        <w:tc>
          <w:tcPr>
            <w:tcW w:w="1720" w:type="dxa"/>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8" w:type="dxa"/>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0" w:type="dxa"/>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8" w:type="dxa"/>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shd w:color="auto" w:fill="auto" w:val="clear"/>
            <w:vAlign w:val="bottom"/>
          </w:tcPr>
          <w:p>
            <w:pPr>
              <w:pStyle w:val="Normal"/>
              <w:spacing w:lineRule="auto" w:line="360"/>
              <w:rPr>
                <w:sz w:val="20"/>
                <w:szCs w:val="20"/>
                <w:lang w:val="en-GB"/>
              </w:rPr>
            </w:pPr>
            <w:r>
              <w:rPr>
                <w:sz w:val="20"/>
                <w:szCs w:val="20"/>
                <w:lang w:val="en-GB"/>
              </w:rPr>
              <w:t>447.03</w:t>
            </w:r>
          </w:p>
        </w:tc>
        <w:tc>
          <w:tcPr>
            <w:tcW w:w="1720" w:type="dx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8" w:type="dxa"/>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0" w:type="dx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8" w:type="dxa"/>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shd w:color="auto" w:fill="auto" w:val="clear"/>
            <w:vAlign w:val="bottom"/>
          </w:tcPr>
          <w:p>
            <w:pPr>
              <w:pStyle w:val="Normal"/>
              <w:spacing w:lineRule="auto" w:line="360"/>
              <w:rPr>
                <w:sz w:val="20"/>
                <w:szCs w:val="20"/>
                <w:lang w:val="en-GB"/>
              </w:rPr>
            </w:pPr>
            <w:r>
              <w:rPr>
                <w:sz w:val="20"/>
                <w:szCs w:val="20"/>
                <w:lang w:val="en-GB"/>
              </w:rPr>
              <w:t>1,496.88</w:t>
            </w:r>
          </w:p>
        </w:tc>
        <w:tc>
          <w:tcPr>
            <w:tcW w:w="1720" w:type="dxa"/>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8" w:type="dxa"/>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0"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8" w:type="dxa"/>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tcBorders>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tcBorders>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tcBorders>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8" w:type="dxa"/>
        <w:tblCellMar>
          <w:top w:w="0" w:type="dxa"/>
          <w:left w:w="108" w:type="dxa"/>
          <w:bottom w:w="0" w:type="dxa"/>
          <w:right w:w="108" w:type="dxa"/>
        </w:tblCellMar>
        <w:tblLook w:val="04a0" w:noVBand="1" w:noHBand="0" w:lastColumn="0" w:firstColumn="1" w:lastRow="0" w:firstRow="1"/>
      </w:tblPr>
      <w:tblGrid>
        <w:gridCol w:w="1392"/>
        <w:gridCol w:w="1177"/>
        <w:gridCol w:w="1177"/>
        <w:gridCol w:w="1176"/>
        <w:gridCol w:w="1179"/>
        <w:gridCol w:w="1298"/>
        <w:gridCol w:w="1244"/>
        <w:gridCol w:w="1420"/>
      </w:tblGrid>
      <w:tr>
        <w:trPr/>
        <w:tc>
          <w:tcPr>
            <w:tcW w:w="1392" w:type="dxa"/>
            <w:tcBorders/>
            <w:shd w:fill="auto" w:val="clear"/>
            <w:tcMar>
              <w:left w:w="108" w:type="dxa"/>
            </w:tcMar>
          </w:tcPr>
          <w:p>
            <w:pPr>
              <w:pStyle w:val="Normal"/>
              <w:rPr>
                <w:lang w:val="en-GB"/>
              </w:rPr>
            </w:pPr>
            <w:r>
              <w:rPr>
                <w:lang w:val="en-GB"/>
              </w:rPr>
              <w:t>Input parameter</w:t>
            </w:r>
          </w:p>
        </w:tc>
        <w:tc>
          <w:tcPr>
            <w:tcW w:w="1177" w:type="dxa"/>
            <w:tcBorders/>
            <w:shd w:fill="auto" w:val="clear"/>
            <w:tcMar>
              <w:left w:w="108" w:type="dxa"/>
            </w:tcMar>
          </w:tcPr>
          <w:p>
            <w:pPr>
              <w:pStyle w:val="Normal"/>
              <w:rPr>
                <w:lang w:val="en-GB"/>
              </w:rPr>
            </w:pPr>
            <w:r>
              <w:rPr>
                <w:lang w:val="en-GB"/>
              </w:rPr>
              <w:t>Strategy A</w:t>
            </w:r>
          </w:p>
        </w:tc>
        <w:tc>
          <w:tcPr>
            <w:tcW w:w="1177" w:type="dxa"/>
            <w:tcBorders/>
            <w:shd w:fill="auto" w:val="clear"/>
            <w:tcMar>
              <w:left w:w="108" w:type="dxa"/>
            </w:tcMar>
          </w:tcPr>
          <w:p>
            <w:pPr>
              <w:pStyle w:val="Normal"/>
              <w:rPr>
                <w:lang w:val="en-GB"/>
              </w:rPr>
            </w:pPr>
            <w:r>
              <w:rPr>
                <w:lang w:val="en-GB"/>
              </w:rPr>
              <w:t>Strategy B</w:t>
            </w:r>
          </w:p>
        </w:tc>
        <w:tc>
          <w:tcPr>
            <w:tcW w:w="1176" w:type="dxa"/>
            <w:tcBorders/>
            <w:shd w:fill="auto" w:val="clear"/>
            <w:tcMar>
              <w:left w:w="108" w:type="dxa"/>
            </w:tcMar>
          </w:tcPr>
          <w:p>
            <w:pPr>
              <w:pStyle w:val="Normal"/>
              <w:rPr>
                <w:lang w:val="en-GB"/>
              </w:rPr>
            </w:pPr>
            <w:r>
              <w:rPr>
                <w:lang w:val="en-GB"/>
              </w:rPr>
              <w:t>Strategy C</w:t>
            </w:r>
          </w:p>
        </w:tc>
        <w:tc>
          <w:tcPr>
            <w:tcW w:w="1179" w:type="dxa"/>
            <w:tcBorders/>
            <w:shd w:fill="auto" w:val="clear"/>
            <w:tcMar>
              <w:left w:w="108" w:type="dxa"/>
            </w:tcMar>
          </w:tcPr>
          <w:p>
            <w:pPr>
              <w:pStyle w:val="Normal"/>
              <w:rPr>
                <w:lang w:val="en-GB"/>
              </w:rPr>
            </w:pPr>
            <w:r>
              <w:rPr>
                <w:lang w:val="en-GB"/>
              </w:rPr>
              <w:t>Strategy D</w:t>
            </w:r>
          </w:p>
        </w:tc>
        <w:tc>
          <w:tcPr>
            <w:tcW w:w="1298" w:type="dxa"/>
            <w:tcBorders/>
            <w:shd w:fill="auto" w:val="clear"/>
            <w:tcMar>
              <w:left w:w="108" w:type="dxa"/>
            </w:tcMar>
          </w:tcPr>
          <w:p>
            <w:pPr>
              <w:pStyle w:val="Normal"/>
              <w:rPr>
                <w:lang w:val="en-GB"/>
              </w:rPr>
            </w:pPr>
            <w:r>
              <w:rPr>
                <w:lang w:val="en-GB"/>
              </w:rPr>
              <w:t>Strategy E</w:t>
            </w:r>
          </w:p>
        </w:tc>
        <w:tc>
          <w:tcPr>
            <w:tcW w:w="1244" w:type="dxa"/>
            <w:tcBorders/>
            <w:shd w:fill="auto" w:val="clear"/>
            <w:tcMar>
              <w:left w:w="108" w:type="dxa"/>
            </w:tcMar>
          </w:tcPr>
          <w:p>
            <w:pPr>
              <w:pStyle w:val="Normal"/>
              <w:rPr>
                <w:lang w:val="en-GB"/>
              </w:rPr>
            </w:pPr>
            <w:r>
              <w:rPr>
                <w:lang w:val="en-GB"/>
              </w:rPr>
              <w:t>Strategy F</w:t>
            </w:r>
          </w:p>
        </w:tc>
        <w:tc>
          <w:tcPr>
            <w:tcW w:w="1420" w:type="dxa"/>
            <w:tcBorders/>
            <w:shd w:fill="auto" w:val="clear"/>
            <w:tcMar>
              <w:left w:w="108" w:type="dxa"/>
            </w:tcMar>
          </w:tcPr>
          <w:p>
            <w:pPr>
              <w:pStyle w:val="Normal"/>
              <w:rPr>
                <w:lang w:val="en-GB"/>
              </w:rPr>
            </w:pPr>
            <w:r>
              <w:rPr>
                <w:lang w:val="en-GB"/>
              </w:rPr>
              <w:t xml:space="preserve">CE conclusions </w:t>
            </w:r>
          </w:p>
        </w:tc>
      </w:tr>
      <w:tr>
        <w:trPr/>
        <w:tc>
          <w:tcPr>
            <w:tcW w:w="1392" w:type="dxa"/>
            <w:tcBorders/>
            <w:shd w:fill="auto" w:val="clear"/>
            <w:tcMar>
              <w:left w:w="108" w:type="dxa"/>
            </w:tcMar>
          </w:tcPr>
          <w:p>
            <w:pPr>
              <w:pStyle w:val="Normal"/>
              <w:rPr>
                <w:lang w:val="en-GB"/>
              </w:rPr>
            </w:pPr>
            <w:r>
              <w:rPr>
                <w:lang w:val="en-GB"/>
              </w:rPr>
              <w:t>BM price</w:t>
            </w:r>
          </w:p>
        </w:tc>
        <w:tc>
          <w:tcPr>
            <w:tcW w:w="1177" w:type="dxa"/>
            <w:tcBorders/>
            <w:shd w:fill="auto" w:val="clear"/>
            <w:tcMar>
              <w:left w:w="108" w:type="dxa"/>
            </w:tcMar>
          </w:tcPr>
          <w:p>
            <w:pPr>
              <w:pStyle w:val="Normal"/>
              <w:rPr>
                <w:lang w:val="en-GB"/>
              </w:rPr>
            </w:pPr>
            <w:r>
              <w:rPr>
                <w:lang w:val="en-GB"/>
              </w:rPr>
              <w:t>DC=3%</w:t>
            </w:r>
          </w:p>
          <w:p>
            <w:pPr>
              <w:pStyle w:val="Normal"/>
              <w:rPr>
                <w:lang w:val="en-GB"/>
              </w:rPr>
            </w:pPr>
            <w:r>
              <w:rPr>
                <w:lang w:val="en-GB"/>
              </w:rPr>
              <w:t>IS&lt;1%</w:t>
            </w:r>
          </w:p>
        </w:tc>
        <w:tc>
          <w:tcPr>
            <w:tcW w:w="1177"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176" w:type="dxa"/>
            <w:tcBorders/>
            <w:shd w:fill="auto" w:val="clear"/>
            <w:tcMar>
              <w:left w:w="108" w:type="dxa"/>
            </w:tcMar>
          </w:tcPr>
          <w:p>
            <w:pPr>
              <w:pStyle w:val="Normal"/>
              <w:rPr>
                <w:lang w:val="en-GB"/>
              </w:rPr>
            </w:pPr>
            <w:r>
              <w:rPr>
                <w:lang w:val="en-GB"/>
              </w:rPr>
              <w:t>DC=1%</w:t>
            </w:r>
          </w:p>
          <w:p>
            <w:pPr>
              <w:pStyle w:val="Normal"/>
              <w:rPr>
                <w:lang w:val="en-GB"/>
              </w:rPr>
            </w:pPr>
            <w:r>
              <w:rPr>
                <w:lang w:val="en-GB"/>
              </w:rPr>
              <w:t>IS&lt;1%</w:t>
            </w:r>
          </w:p>
        </w:tc>
        <w:tc>
          <w:tcPr>
            <w:tcW w:w="1179" w:type="dxa"/>
            <w:tcBorders/>
            <w:shd w:fill="auto" w:val="clear"/>
            <w:tcMar>
              <w:left w:w="108"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420" w:type="dxa"/>
            <w:tcBorders/>
            <w:shd w:fill="auto" w:val="clear"/>
            <w:tcMar>
              <w:left w:w="108" w:type="dxa"/>
            </w:tcMar>
          </w:tcPr>
          <w:p>
            <w:pPr>
              <w:pStyle w:val="Normal"/>
              <w:rPr>
                <w:lang w:val="en-GB"/>
              </w:rPr>
            </w:pPr>
            <w:r>
              <w:rPr>
                <w:lang w:val="en-GB"/>
              </w:rPr>
              <w:t>Non-modified</w:t>
            </w:r>
          </w:p>
        </w:tc>
      </w:tr>
      <w:tr>
        <w:trPr/>
        <w:tc>
          <w:tcPr>
            <w:tcW w:w="1392" w:type="dxa"/>
            <w:tcBorders/>
            <w:shd w:fill="auto" w:val="clear"/>
            <w:tcMar>
              <w:left w:w="108" w:type="dxa"/>
            </w:tcMar>
          </w:tcPr>
          <w:p>
            <w:pPr>
              <w:pStyle w:val="Normal"/>
              <w:rPr>
                <w:lang w:val="en-GB"/>
              </w:rPr>
            </w:pPr>
            <w:r>
              <w:rPr>
                <w:lang w:val="en-GB"/>
              </w:rPr>
              <w:t xml:space="preserve">BM SE&amp;SP </w:t>
            </w:r>
          </w:p>
        </w:tc>
        <w:tc>
          <w:tcPr>
            <w:tcW w:w="1177" w:type="dxa"/>
            <w:tcBorders/>
            <w:shd w:fill="auto" w:val="clear"/>
            <w:tcMar>
              <w:left w:w="108" w:type="dxa"/>
            </w:tcMar>
          </w:tcPr>
          <w:p>
            <w:pPr>
              <w:pStyle w:val="Normal"/>
              <w:rPr>
                <w:lang w:val="en-GB"/>
              </w:rPr>
            </w:pPr>
            <w:r>
              <w:rPr>
                <w:lang w:val="en-GB"/>
              </w:rPr>
              <w:t>DC=3%</w:t>
            </w:r>
          </w:p>
          <w:p>
            <w:pPr>
              <w:pStyle w:val="Normal"/>
              <w:rPr>
                <w:lang w:val="en-GB"/>
              </w:rPr>
            </w:pPr>
            <w:r>
              <w:rPr>
                <w:lang w:val="en-GB"/>
              </w:rPr>
              <w:t>DS&lt;1%</w:t>
            </w:r>
          </w:p>
        </w:tc>
        <w:tc>
          <w:tcPr>
            <w:tcW w:w="1177" w:type="dxa"/>
            <w:tcBorders/>
            <w:shd w:fill="auto" w:val="clear"/>
            <w:tcMar>
              <w:left w:w="108" w:type="dxa"/>
            </w:tcMar>
          </w:tcPr>
          <w:p>
            <w:pPr>
              <w:pStyle w:val="Normal"/>
              <w:rPr>
                <w:lang w:val="en-GB"/>
              </w:rPr>
            </w:pPr>
            <w:r>
              <w:rPr>
                <w:lang w:val="en-GB"/>
              </w:rPr>
              <w:t>DC=1%</w:t>
            </w:r>
          </w:p>
          <w:p>
            <w:pPr>
              <w:pStyle w:val="Normal"/>
              <w:rPr>
                <w:lang w:val="en-GB"/>
              </w:rPr>
            </w:pPr>
            <w:r>
              <w:rPr>
                <w:lang w:val="en-GB"/>
              </w:rPr>
              <w:t>DS&lt;1%</w:t>
            </w:r>
          </w:p>
        </w:tc>
        <w:tc>
          <w:tcPr>
            <w:tcW w:w="1176" w:type="dxa"/>
            <w:tcBorders/>
            <w:shd w:fill="auto" w:val="clear"/>
            <w:tcMar>
              <w:left w:w="108" w:type="dxa"/>
            </w:tcMar>
          </w:tcPr>
          <w:p>
            <w:pPr>
              <w:pStyle w:val="Normal"/>
              <w:rPr>
                <w:lang w:val="en-GB"/>
              </w:rPr>
            </w:pPr>
            <w:r>
              <w:rPr>
                <w:lang w:val="en-GB"/>
              </w:rPr>
              <w:t>DC&lt;1%</w:t>
            </w:r>
          </w:p>
          <w:p>
            <w:pPr>
              <w:pStyle w:val="Normal"/>
              <w:rPr>
                <w:lang w:val="en-GB"/>
              </w:rPr>
            </w:pPr>
            <w:r>
              <w:rPr>
                <w:lang w:val="en-GB"/>
              </w:rPr>
              <w:t>DS&lt;1%</w:t>
            </w:r>
          </w:p>
        </w:tc>
        <w:tc>
          <w:tcPr>
            <w:tcW w:w="1179" w:type="dxa"/>
            <w:tcBorders/>
            <w:shd w:fill="auto" w:val="clear"/>
            <w:tcMar>
              <w:left w:w="108"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420" w:type="dxa"/>
            <w:tcBorders/>
            <w:shd w:fill="auto" w:val="clear"/>
            <w:tcMar>
              <w:left w:w="108" w:type="dxa"/>
            </w:tcMar>
          </w:tcPr>
          <w:p>
            <w:pPr>
              <w:pStyle w:val="Normal"/>
              <w:rPr>
                <w:lang w:val="en-GB"/>
              </w:rPr>
            </w:pPr>
            <w:r>
              <w:rPr>
                <w:lang w:val="en-GB"/>
              </w:rPr>
              <w:t>Non-modified</w:t>
            </w:r>
          </w:p>
        </w:tc>
      </w:tr>
      <w:tr>
        <w:trPr/>
        <w:tc>
          <w:tcPr>
            <w:tcW w:w="1392" w:type="dxa"/>
            <w:tcBorders/>
            <w:shd w:fill="auto" w:val="clear"/>
            <w:tcMar>
              <w:left w:w="108" w:type="dxa"/>
            </w:tcMar>
          </w:tcPr>
          <w:p>
            <w:pPr>
              <w:pStyle w:val="Normal"/>
              <w:rPr>
                <w:lang w:val="en-GB"/>
              </w:rPr>
            </w:pPr>
            <w:r>
              <w:rPr>
                <w:lang w:val="en-GB"/>
              </w:rPr>
              <w:t>RDT SE&amp;SP</w:t>
            </w:r>
          </w:p>
        </w:tc>
        <w:tc>
          <w:tcPr>
            <w:tcW w:w="1177" w:type="dxa"/>
            <w:tcBorders/>
            <w:shd w:fill="auto" w:val="clear"/>
            <w:tcMar>
              <w:left w:w="108" w:type="dxa"/>
            </w:tcMar>
          </w:tcPr>
          <w:p>
            <w:pPr>
              <w:pStyle w:val="Normal"/>
              <w:rPr>
                <w:lang w:val="en-GB"/>
              </w:rPr>
            </w:pPr>
            <w:r>
              <w:rPr>
                <w:lang w:val="en-GB"/>
              </w:rPr>
              <w:t>DC=4%</w:t>
            </w:r>
          </w:p>
          <w:p>
            <w:pPr>
              <w:pStyle w:val="Normal"/>
              <w:rPr>
                <w:lang w:val="en-GB"/>
              </w:rPr>
            </w:pPr>
            <w:r>
              <w:rPr>
                <w:lang w:val="en-GB"/>
              </w:rPr>
              <w:t>IS&lt;1%</w:t>
            </w:r>
          </w:p>
        </w:tc>
        <w:tc>
          <w:tcPr>
            <w:tcW w:w="1177" w:type="dxa"/>
            <w:tcBorders/>
            <w:shd w:fill="auto" w:val="clear"/>
            <w:tcMar>
              <w:left w:w="108" w:type="dxa"/>
            </w:tcMar>
          </w:tcPr>
          <w:p>
            <w:pPr>
              <w:pStyle w:val="Normal"/>
              <w:rPr>
                <w:lang w:val="en-GB"/>
              </w:rPr>
            </w:pPr>
            <w:r>
              <w:rPr>
                <w:lang w:val="en-GB"/>
              </w:rPr>
              <w:t>DC=1%</w:t>
            </w:r>
          </w:p>
          <w:p>
            <w:pPr>
              <w:pStyle w:val="Normal"/>
              <w:rPr>
                <w:lang w:val="en-GB"/>
              </w:rPr>
            </w:pPr>
            <w:r>
              <w:rPr>
                <w:lang w:val="en-GB"/>
              </w:rPr>
              <w:t>IS&lt;1%</w:t>
            </w:r>
          </w:p>
        </w:tc>
        <w:tc>
          <w:tcPr>
            <w:tcW w:w="1176"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179" w:type="dxa"/>
            <w:tcBorders/>
            <w:shd w:fill="auto" w:val="clear"/>
            <w:tcMar>
              <w:left w:w="108"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8"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8" w:type="dxa"/>
            </w:tcMar>
          </w:tcPr>
          <w:p>
            <w:pPr>
              <w:pStyle w:val="Normal"/>
              <w:rPr>
                <w:lang w:val="en-GB"/>
              </w:rPr>
            </w:pPr>
            <w:r>
              <w:rPr>
                <w:lang w:val="en-GB"/>
              </w:rPr>
              <w:t>IC&lt;1%</w:t>
            </w:r>
          </w:p>
          <w:p>
            <w:pPr>
              <w:pStyle w:val="Normal"/>
              <w:rPr>
                <w:lang w:val="en-GB"/>
              </w:rPr>
            </w:pPr>
            <w:r>
              <w:rPr>
                <w:lang w:val="en-GB"/>
              </w:rPr>
              <w:t>IS&lt;1%</w:t>
            </w:r>
          </w:p>
        </w:tc>
        <w:tc>
          <w:tcPr>
            <w:tcW w:w="1420" w:type="dxa"/>
            <w:tcBorders/>
            <w:shd w:fill="auto" w:val="clear"/>
            <w:tcMar>
              <w:left w:w="108" w:type="dxa"/>
            </w:tcMar>
          </w:tcPr>
          <w:p>
            <w:pPr>
              <w:pStyle w:val="Normal"/>
              <w:rPr>
                <w:lang w:val="en-GB"/>
              </w:rPr>
            </w:pPr>
            <w:r>
              <w:rPr>
                <w:lang w:val="en-GB"/>
              </w:rPr>
              <w:t>Non-modified</w:t>
            </w:r>
          </w:p>
        </w:tc>
      </w:tr>
      <w:tr>
        <w:trPr/>
        <w:tc>
          <w:tcPr>
            <w:tcW w:w="1392" w:type="dxa"/>
            <w:tcBorders/>
            <w:shd w:fill="auto" w:val="clear"/>
            <w:tcMar>
              <w:left w:w="108" w:type="dxa"/>
            </w:tcMar>
          </w:tcPr>
          <w:p>
            <w:pPr>
              <w:pStyle w:val="Normal"/>
              <w:rPr>
                <w:lang w:val="en-GB"/>
              </w:rPr>
            </w:pPr>
            <w:r>
              <w:rPr>
                <w:lang w:val="en-GB"/>
              </w:rPr>
              <w:t>SB price</w:t>
            </w:r>
          </w:p>
        </w:tc>
        <w:tc>
          <w:tcPr>
            <w:tcW w:w="1177" w:type="dxa"/>
            <w:tcBorders/>
            <w:shd w:fill="auto" w:val="clear"/>
            <w:tcMar>
              <w:left w:w="108" w:type="dxa"/>
            </w:tcMar>
          </w:tcPr>
          <w:p>
            <w:pPr>
              <w:pStyle w:val="Normal"/>
              <w:rPr>
                <w:lang w:val="en-GB"/>
              </w:rPr>
            </w:pPr>
            <w:r>
              <w:rPr>
                <w:lang w:val="en-GB"/>
              </w:rPr>
              <w:t>DC=2%</w:t>
            </w:r>
          </w:p>
          <w:p>
            <w:pPr>
              <w:pStyle w:val="Normal"/>
              <w:rPr>
                <w:lang w:val="en-GB"/>
              </w:rPr>
            </w:pPr>
            <w:r>
              <w:rPr>
                <w:lang w:val="en-GB"/>
              </w:rPr>
              <w:t>DS&lt;1%</w:t>
            </w:r>
          </w:p>
        </w:tc>
        <w:tc>
          <w:tcPr>
            <w:tcW w:w="1177" w:type="dxa"/>
            <w:tcBorders/>
            <w:shd w:fill="auto" w:val="clear"/>
            <w:tcMar>
              <w:left w:w="108" w:type="dxa"/>
            </w:tcMar>
          </w:tcPr>
          <w:p>
            <w:pPr>
              <w:pStyle w:val="Normal"/>
              <w:rPr>
                <w:lang w:val="en-GB"/>
              </w:rPr>
            </w:pPr>
            <w:r>
              <w:rPr>
                <w:lang w:val="en-GB"/>
              </w:rPr>
              <w:t>IC&lt;1%</w:t>
            </w:r>
          </w:p>
          <w:p>
            <w:pPr>
              <w:pStyle w:val="Normal"/>
              <w:rPr>
                <w:lang w:val="en-GB"/>
              </w:rPr>
            </w:pPr>
            <w:r>
              <w:rPr>
                <w:lang w:val="en-GB"/>
              </w:rPr>
              <w:t>IS&lt;1%</w:t>
            </w:r>
          </w:p>
        </w:tc>
        <w:tc>
          <w:tcPr>
            <w:tcW w:w="1176" w:type="dxa"/>
            <w:tcBorders/>
            <w:shd w:fill="auto" w:val="clear"/>
            <w:tcMar>
              <w:left w:w="108" w:type="dxa"/>
            </w:tcMar>
          </w:tcPr>
          <w:p>
            <w:pPr>
              <w:pStyle w:val="Normal"/>
              <w:rPr>
                <w:lang w:val="en-GB"/>
              </w:rPr>
            </w:pPr>
            <w:r>
              <w:rPr>
                <w:lang w:val="en-GB"/>
              </w:rPr>
              <w:t>IC&lt;1%</w:t>
            </w:r>
          </w:p>
          <w:p>
            <w:pPr>
              <w:pStyle w:val="Normal"/>
              <w:rPr>
                <w:lang w:val="en-GB"/>
              </w:rPr>
            </w:pPr>
            <w:r>
              <w:rPr>
                <w:lang w:val="en-GB"/>
              </w:rPr>
              <w:t>IS&lt;1%</w:t>
            </w:r>
          </w:p>
        </w:tc>
        <w:tc>
          <w:tcPr>
            <w:tcW w:w="1179" w:type="dxa"/>
            <w:tcBorders/>
            <w:shd w:fill="auto" w:val="clear"/>
            <w:tcMar>
              <w:left w:w="108"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420" w:type="dxa"/>
            <w:tcBorders/>
            <w:shd w:fill="auto" w:val="clear"/>
            <w:tcMar>
              <w:left w:w="108" w:type="dxa"/>
            </w:tcMar>
          </w:tcPr>
          <w:p>
            <w:pPr>
              <w:pStyle w:val="Normal"/>
              <w:rPr>
                <w:lang w:val="en-GB"/>
              </w:rPr>
            </w:pPr>
            <w:r>
              <w:rPr>
                <w:lang w:val="en-GB"/>
              </w:rPr>
              <w:t>Non-modified</w:t>
            </w:r>
          </w:p>
        </w:tc>
      </w:tr>
      <w:tr>
        <w:trPr/>
        <w:tc>
          <w:tcPr>
            <w:tcW w:w="1392" w:type="dxa"/>
            <w:tcBorders/>
            <w:shd w:fill="auto" w:val="clear"/>
            <w:tcMar>
              <w:left w:w="108" w:type="dxa"/>
            </w:tcMar>
          </w:tcPr>
          <w:p>
            <w:pPr>
              <w:pStyle w:val="Normal"/>
              <w:rPr>
                <w:lang w:val="en-GB"/>
              </w:rPr>
            </w:pPr>
            <w:r>
              <w:rPr>
                <w:lang w:val="en-GB"/>
              </w:rPr>
              <w:t>SB mortality</w:t>
            </w:r>
          </w:p>
        </w:tc>
        <w:tc>
          <w:tcPr>
            <w:tcW w:w="1177" w:type="dxa"/>
            <w:tcBorders/>
            <w:shd w:fill="auto" w:val="clear"/>
            <w:tcMar>
              <w:left w:w="108" w:type="dxa"/>
            </w:tcMar>
          </w:tcPr>
          <w:p>
            <w:pPr>
              <w:pStyle w:val="Normal"/>
              <w:rPr>
                <w:lang w:val="en-GB"/>
              </w:rPr>
            </w:pPr>
            <w:r>
              <w:rPr>
                <w:lang w:val="en-GB"/>
              </w:rPr>
              <w:t>DC=2%</w:t>
            </w:r>
          </w:p>
          <w:p>
            <w:pPr>
              <w:pStyle w:val="Normal"/>
              <w:rPr>
                <w:lang w:val="en-GB"/>
              </w:rPr>
            </w:pPr>
            <w:r>
              <w:rPr>
                <w:lang w:val="en-GB"/>
              </w:rPr>
              <w:t>IS=3%</w:t>
            </w:r>
          </w:p>
        </w:tc>
        <w:tc>
          <w:tcPr>
            <w:tcW w:w="1177"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176" w:type="dxa"/>
            <w:tcBorders/>
            <w:shd w:fill="auto" w:val="clear"/>
            <w:tcMar>
              <w:left w:w="108" w:type="dxa"/>
            </w:tcMar>
          </w:tcPr>
          <w:p>
            <w:pPr>
              <w:pStyle w:val="Normal"/>
              <w:rPr>
                <w:lang w:val="en-GB"/>
              </w:rPr>
            </w:pPr>
            <w:r>
              <w:rPr>
                <w:lang w:val="en-GB"/>
              </w:rPr>
              <w:t>IC&lt;1%</w:t>
            </w:r>
          </w:p>
          <w:p>
            <w:pPr>
              <w:pStyle w:val="Normal"/>
              <w:rPr>
                <w:lang w:val="en-GB"/>
              </w:rPr>
            </w:pPr>
            <w:r>
              <w:rPr>
                <w:lang w:val="en-GB"/>
              </w:rPr>
              <w:t>IS&lt;1%</w:t>
            </w:r>
          </w:p>
        </w:tc>
        <w:tc>
          <w:tcPr>
            <w:tcW w:w="1179" w:type="dxa"/>
            <w:tcBorders/>
            <w:shd w:fill="auto" w:val="clear"/>
            <w:tcMar>
              <w:left w:w="108"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8" w:type="dxa"/>
            </w:tcMar>
          </w:tcPr>
          <w:p>
            <w:pPr>
              <w:pStyle w:val="Normal"/>
              <w:rPr>
                <w:lang w:val="en-GB"/>
              </w:rPr>
            </w:pPr>
            <w:r>
              <w:rPr>
                <w:lang w:val="en-GB"/>
              </w:rPr>
              <w:t>DC&lt;1%</w:t>
            </w:r>
          </w:p>
          <w:p>
            <w:pPr>
              <w:pStyle w:val="Normal"/>
              <w:rPr>
                <w:lang w:val="en-GB"/>
              </w:rPr>
            </w:pPr>
            <w:r>
              <w:rPr>
                <w:lang w:val="en-GB"/>
              </w:rPr>
              <w:t>IS&lt;1%</w:t>
            </w:r>
          </w:p>
        </w:tc>
        <w:tc>
          <w:tcPr>
            <w:tcW w:w="1420" w:type="dxa"/>
            <w:tcBorders/>
            <w:shd w:fill="auto" w:val="clear"/>
            <w:tcMar>
              <w:left w:w="108" w:type="dxa"/>
            </w:tcMar>
          </w:tcPr>
          <w:p>
            <w:pPr>
              <w:pStyle w:val="Normal"/>
              <w:rPr>
                <w:lang w:val="en-GB"/>
              </w:rPr>
            </w:pPr>
            <w:r>
              <w:rPr>
                <w:lang w:val="en-GB"/>
              </w:rPr>
              <w:t>Non-modified</w:t>
            </w:r>
          </w:p>
        </w:tc>
      </w:tr>
      <w:tr>
        <w:trPr/>
        <w:tc>
          <w:tcPr>
            <w:tcW w:w="1392" w:type="dxa"/>
            <w:tcBorders/>
            <w:shd w:fill="auto" w:val="clear"/>
            <w:tcMar>
              <w:left w:w="108" w:type="dxa"/>
            </w:tcMar>
          </w:tcPr>
          <w:p>
            <w:pPr>
              <w:pStyle w:val="Normal"/>
              <w:rPr>
                <w:lang w:val="en-GB"/>
              </w:rPr>
            </w:pPr>
            <w:r>
              <w:rPr>
                <w:lang w:val="en-GB"/>
              </w:rPr>
              <w:t>L-AmB efficacy*</w:t>
            </w:r>
          </w:p>
        </w:tc>
        <w:tc>
          <w:tcPr>
            <w:tcW w:w="1177" w:type="dxa"/>
            <w:tcBorders/>
            <w:shd w:fill="auto" w:val="clear"/>
            <w:tcMar>
              <w:left w:w="108" w:type="dxa"/>
            </w:tcMar>
          </w:tcPr>
          <w:p>
            <w:pPr>
              <w:pStyle w:val="Normal"/>
              <w:rPr>
                <w:lang w:val="en-GB"/>
              </w:rPr>
            </w:pPr>
            <w:r>
              <w:rPr>
                <w:lang w:val="en-GB"/>
              </w:rPr>
              <w:t>DC=3%</w:t>
            </w:r>
          </w:p>
          <w:p>
            <w:pPr>
              <w:pStyle w:val="Normal"/>
              <w:rPr>
                <w:lang w:val="en-GB"/>
              </w:rPr>
            </w:pPr>
            <w:r>
              <w:rPr>
                <w:lang w:val="en-GB"/>
              </w:rPr>
              <w:t>IS&lt;1%</w:t>
            </w:r>
          </w:p>
        </w:tc>
        <w:tc>
          <w:tcPr>
            <w:tcW w:w="1177" w:type="dxa"/>
            <w:tcBorders/>
            <w:shd w:fill="auto" w:val="clear"/>
            <w:tcMar>
              <w:left w:w="108" w:type="dxa"/>
            </w:tcMar>
          </w:tcPr>
          <w:p>
            <w:pPr>
              <w:pStyle w:val="Normal"/>
              <w:rPr>
                <w:lang w:val="en-GB"/>
              </w:rPr>
            </w:pPr>
            <w:r>
              <w:rPr>
                <w:lang w:val="en-GB"/>
              </w:rPr>
              <w:t>DC&lt;1%</w:t>
            </w:r>
          </w:p>
          <w:p>
            <w:pPr>
              <w:pStyle w:val="Normal"/>
              <w:rPr>
                <w:lang w:val="en-GB"/>
              </w:rPr>
            </w:pPr>
            <w:r>
              <w:rPr>
                <w:lang w:val="en-GB"/>
              </w:rPr>
              <w:t>IS=1%</w:t>
            </w:r>
          </w:p>
        </w:tc>
        <w:tc>
          <w:tcPr>
            <w:tcW w:w="1176" w:type="dxa"/>
            <w:tcBorders/>
            <w:shd w:fill="auto" w:val="clear"/>
            <w:tcMar>
              <w:left w:w="108" w:type="dxa"/>
            </w:tcMar>
          </w:tcPr>
          <w:p>
            <w:pPr>
              <w:pStyle w:val="Normal"/>
              <w:rPr>
                <w:lang w:val="en-GB"/>
              </w:rPr>
            </w:pPr>
            <w:r>
              <w:rPr>
                <w:lang w:val="en-GB"/>
              </w:rPr>
              <w:t>DC&lt;1%</w:t>
            </w:r>
          </w:p>
          <w:p>
            <w:pPr>
              <w:pStyle w:val="Normal"/>
              <w:rPr>
                <w:lang w:val="en-GB"/>
              </w:rPr>
            </w:pPr>
            <w:r>
              <w:rPr>
                <w:lang w:val="en-GB"/>
              </w:rPr>
              <w:t>IS=1%</w:t>
            </w:r>
          </w:p>
        </w:tc>
        <w:tc>
          <w:tcPr>
            <w:tcW w:w="1179" w:type="dxa"/>
            <w:tcBorders/>
            <w:shd w:fill="auto" w:val="clear"/>
            <w:tcMar>
              <w:left w:w="108"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8"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8" w:type="dxa"/>
            </w:tcMar>
          </w:tcPr>
          <w:p>
            <w:pPr>
              <w:pStyle w:val="Normal"/>
              <w:rPr>
                <w:lang w:val="en-GB"/>
              </w:rPr>
            </w:pPr>
            <w:r>
              <w:rPr>
                <w:lang w:val="en-GB"/>
              </w:rPr>
              <w:t>DC=1%</w:t>
            </w:r>
          </w:p>
          <w:p>
            <w:pPr>
              <w:pStyle w:val="Normal"/>
              <w:rPr>
                <w:lang w:val="en-GB"/>
              </w:rPr>
            </w:pPr>
            <w:r>
              <w:rPr>
                <w:lang w:val="en-GB"/>
              </w:rPr>
              <w:t>IS=1%</w:t>
            </w:r>
          </w:p>
        </w:tc>
        <w:tc>
          <w:tcPr>
            <w:tcW w:w="1420" w:type="dxa"/>
            <w:tcBorders/>
            <w:shd w:fill="auto" w:val="clear"/>
            <w:tcMar>
              <w:left w:w="108" w:type="dxa"/>
            </w:tcMar>
          </w:tcPr>
          <w:p>
            <w:pPr>
              <w:pStyle w:val="Normal"/>
              <w:rPr>
                <w:lang w:val="en-GB"/>
              </w:rPr>
            </w:pPr>
            <w:r>
              <w:rPr>
                <w:lang w:val="en-GB"/>
              </w:rPr>
              <w:t>Non-modified</w:t>
            </w:r>
          </w:p>
        </w:tc>
      </w:tr>
      <w:tr>
        <w:trPr/>
        <w:tc>
          <w:tcPr>
            <w:tcW w:w="1392" w:type="dxa"/>
            <w:tcBorders/>
            <w:shd w:fill="auto" w:val="clear"/>
            <w:tcMar>
              <w:left w:w="108" w:type="dxa"/>
            </w:tcMar>
          </w:tcPr>
          <w:p>
            <w:pPr>
              <w:pStyle w:val="Normal"/>
              <w:rPr>
                <w:lang w:val="en-GB"/>
              </w:rPr>
            </w:pPr>
            <w:r>
              <w:rPr>
                <w:lang w:val="en-GB"/>
              </w:rPr>
              <w:t>50% VL prevalence</w:t>
            </w:r>
          </w:p>
        </w:tc>
        <w:tc>
          <w:tcPr>
            <w:tcW w:w="1177" w:type="dxa"/>
            <w:tcBorders/>
            <w:shd w:fill="auto" w:val="clear"/>
            <w:tcMar>
              <w:left w:w="108" w:type="dxa"/>
            </w:tcMar>
          </w:tcPr>
          <w:p>
            <w:pPr>
              <w:pStyle w:val="Normal"/>
              <w:rPr>
                <w:lang w:val="en-GB"/>
              </w:rPr>
            </w:pPr>
            <w:r>
              <w:rPr>
                <w:lang w:val="en-GB"/>
              </w:rPr>
              <w:t>DC=27%</w:t>
            </w:r>
          </w:p>
          <w:p>
            <w:pPr>
              <w:pStyle w:val="Normal"/>
              <w:rPr>
                <w:lang w:val="en-GB"/>
              </w:rPr>
            </w:pPr>
            <w:r>
              <w:rPr>
                <w:lang w:val="en-GB"/>
              </w:rPr>
              <w:t>IS=2%</w:t>
            </w:r>
          </w:p>
        </w:tc>
        <w:tc>
          <w:tcPr>
            <w:tcW w:w="1177" w:type="dxa"/>
            <w:tcBorders/>
            <w:shd w:fill="auto" w:val="clear"/>
            <w:tcMar>
              <w:left w:w="108" w:type="dxa"/>
            </w:tcMar>
          </w:tcPr>
          <w:p>
            <w:pPr>
              <w:pStyle w:val="Normal"/>
              <w:rPr>
                <w:lang w:val="en-GB"/>
              </w:rPr>
            </w:pPr>
            <w:r>
              <w:rPr>
                <w:lang w:val="en-GB"/>
              </w:rPr>
              <w:t>DC=28%</w:t>
            </w:r>
          </w:p>
          <w:p>
            <w:pPr>
              <w:pStyle w:val="Normal"/>
              <w:rPr>
                <w:lang w:val="en-GB"/>
              </w:rPr>
            </w:pPr>
            <w:r>
              <w:rPr>
                <w:lang w:val="en-GB"/>
              </w:rPr>
              <w:t>IS&lt;1%</w:t>
            </w:r>
          </w:p>
        </w:tc>
        <w:tc>
          <w:tcPr>
            <w:tcW w:w="1176" w:type="dxa"/>
            <w:tcBorders/>
            <w:shd w:fill="auto" w:val="clear"/>
            <w:tcMar>
              <w:left w:w="108" w:type="dxa"/>
            </w:tcMar>
          </w:tcPr>
          <w:p>
            <w:pPr>
              <w:pStyle w:val="Normal"/>
              <w:rPr>
                <w:lang w:val="en-GB"/>
              </w:rPr>
            </w:pPr>
            <w:r>
              <w:rPr>
                <w:lang w:val="en-GB"/>
              </w:rPr>
              <w:t>DC=26%</w:t>
            </w:r>
          </w:p>
          <w:p>
            <w:pPr>
              <w:pStyle w:val="Normal"/>
              <w:rPr>
                <w:lang w:val="en-GB"/>
              </w:rPr>
            </w:pPr>
            <w:r>
              <w:rPr>
                <w:lang w:val="en-GB"/>
              </w:rPr>
              <w:t>IS&lt;1%</w:t>
            </w:r>
          </w:p>
        </w:tc>
        <w:tc>
          <w:tcPr>
            <w:tcW w:w="1179" w:type="dxa"/>
            <w:tcBorders/>
            <w:shd w:fill="auto" w:val="clear"/>
            <w:tcMar>
              <w:left w:w="108"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8"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8" w:type="dxa"/>
            </w:tcMar>
          </w:tcPr>
          <w:p>
            <w:pPr>
              <w:pStyle w:val="Normal"/>
              <w:rPr>
                <w:lang w:val="en-GB"/>
              </w:rPr>
            </w:pPr>
            <w:r>
              <w:rPr>
                <w:lang w:val="en-GB"/>
              </w:rPr>
              <w:t>DC=29%</w:t>
            </w:r>
          </w:p>
          <w:p>
            <w:pPr>
              <w:pStyle w:val="Normal"/>
              <w:rPr>
                <w:lang w:val="en-GB"/>
              </w:rPr>
            </w:pPr>
            <w:r>
              <w:rPr>
                <w:lang w:val="en-GB"/>
              </w:rPr>
              <w:t>IS&lt;1%</w:t>
            </w:r>
          </w:p>
        </w:tc>
        <w:tc>
          <w:tcPr>
            <w:tcW w:w="1420" w:type="dxa"/>
            <w:tcBorders/>
            <w:shd w:fill="auto" w:val="clear"/>
            <w:tcMar>
              <w:left w:w="108" w:type="dxa"/>
            </w:tcMar>
          </w:tcPr>
          <w:p>
            <w:pPr>
              <w:pStyle w:val="Normal"/>
              <w:rPr>
                <w:lang w:val="en-GB"/>
              </w:rPr>
            </w:pPr>
            <w:r>
              <w:rPr>
                <w:lang w:val="en-GB"/>
              </w:rPr>
              <w:t>Non-modified</w:t>
            </w:r>
          </w:p>
        </w:tc>
      </w:tr>
      <w:tr>
        <w:trPr/>
        <w:tc>
          <w:tcPr>
            <w:tcW w:w="1392" w:type="dxa"/>
            <w:tcBorders/>
            <w:shd w:fill="auto" w:val="clear"/>
            <w:tcMar>
              <w:left w:w="108" w:type="dxa"/>
            </w:tcMar>
          </w:tcPr>
          <w:p>
            <w:pPr>
              <w:pStyle w:val="Normal"/>
              <w:rPr>
                <w:lang w:val="en-GB"/>
              </w:rPr>
            </w:pPr>
            <w:r>
              <w:rPr>
                <w:lang w:val="en-GB"/>
              </w:rPr>
              <w:t>100% VL prevalence</w:t>
            </w:r>
          </w:p>
        </w:tc>
        <w:tc>
          <w:tcPr>
            <w:tcW w:w="1177" w:type="dxa"/>
            <w:tcBorders/>
            <w:shd w:fill="auto" w:val="clear"/>
            <w:tcMar>
              <w:left w:w="108" w:type="dxa"/>
            </w:tcMar>
          </w:tcPr>
          <w:p>
            <w:pPr>
              <w:pStyle w:val="Normal"/>
              <w:rPr>
                <w:lang w:val="en-GB"/>
              </w:rPr>
            </w:pPr>
            <w:r>
              <w:rPr>
                <w:lang w:val="en-GB"/>
              </w:rPr>
              <w:t>IC=25%</w:t>
            </w:r>
          </w:p>
          <w:p>
            <w:pPr>
              <w:pStyle w:val="Normal"/>
              <w:rPr>
                <w:lang w:val="en-GB"/>
              </w:rPr>
            </w:pPr>
            <w:r>
              <w:rPr>
                <w:lang w:val="en-GB"/>
              </w:rPr>
              <w:t>DS=2%</w:t>
            </w:r>
          </w:p>
        </w:tc>
        <w:tc>
          <w:tcPr>
            <w:tcW w:w="1177" w:type="dxa"/>
            <w:tcBorders/>
            <w:shd w:fill="auto" w:val="clear"/>
            <w:tcMar>
              <w:left w:w="108" w:type="dxa"/>
            </w:tcMar>
          </w:tcPr>
          <w:p>
            <w:pPr>
              <w:pStyle w:val="Normal"/>
              <w:rPr>
                <w:lang w:val="en-GB"/>
              </w:rPr>
            </w:pPr>
            <w:r>
              <w:rPr>
                <w:lang w:val="en-GB"/>
              </w:rPr>
              <w:t>IC=31%</w:t>
            </w:r>
          </w:p>
          <w:p>
            <w:pPr>
              <w:pStyle w:val="Normal"/>
              <w:rPr>
                <w:lang w:val="en-GB"/>
              </w:rPr>
            </w:pPr>
            <w:r>
              <w:rPr>
                <w:lang w:val="en-GB"/>
              </w:rPr>
              <w:t>DS&lt;1%</w:t>
            </w:r>
          </w:p>
        </w:tc>
        <w:tc>
          <w:tcPr>
            <w:tcW w:w="1176" w:type="dxa"/>
            <w:tcBorders/>
            <w:shd w:fill="auto" w:val="clear"/>
            <w:tcMar>
              <w:left w:w="108" w:type="dxa"/>
            </w:tcMar>
          </w:tcPr>
          <w:p>
            <w:pPr>
              <w:pStyle w:val="Normal"/>
              <w:rPr>
                <w:lang w:val="en-GB"/>
              </w:rPr>
            </w:pPr>
            <w:r>
              <w:rPr>
                <w:lang w:val="en-GB"/>
              </w:rPr>
              <w:t>IC=29%</w:t>
            </w:r>
          </w:p>
          <w:p>
            <w:pPr>
              <w:pStyle w:val="Normal"/>
              <w:rPr>
                <w:lang w:val="en-GB"/>
              </w:rPr>
            </w:pPr>
            <w:r>
              <w:rPr>
                <w:lang w:val="en-GB"/>
              </w:rPr>
              <w:t>DS&lt;1%</w:t>
            </w:r>
          </w:p>
        </w:tc>
        <w:tc>
          <w:tcPr>
            <w:tcW w:w="1179" w:type="dxa"/>
            <w:tcBorders/>
            <w:shd w:fill="auto" w:val="clear"/>
            <w:tcMar>
              <w:left w:w="108"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8"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8" w:type="dxa"/>
            </w:tcMar>
          </w:tcPr>
          <w:p>
            <w:pPr>
              <w:pStyle w:val="Normal"/>
              <w:rPr>
                <w:lang w:val="en-GB"/>
              </w:rPr>
            </w:pPr>
            <w:r>
              <w:rPr>
                <w:lang w:val="en-GB"/>
              </w:rPr>
              <w:t>IC=32%</w:t>
            </w:r>
          </w:p>
          <w:p>
            <w:pPr>
              <w:pStyle w:val="Normal"/>
              <w:rPr>
                <w:lang w:val="en-GB"/>
              </w:rPr>
            </w:pPr>
            <w:r>
              <w:rPr>
                <w:lang w:val="en-GB"/>
              </w:rPr>
              <w:t>DS&lt;1%</w:t>
            </w:r>
          </w:p>
        </w:tc>
        <w:tc>
          <w:tcPr>
            <w:tcW w:w="1420" w:type="dxa"/>
            <w:tcBorders/>
            <w:shd w:fill="auto" w:val="clear"/>
            <w:tcMar>
              <w:left w:w="108"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pStyle w:val="Normal"/>
        <w:spacing w:lineRule="auto" w:line="360"/>
        <w:rPr>
          <w:sz w:val="20"/>
          <w:szCs w:val="20"/>
          <w:lang w:val="en-GB"/>
        </w:rPr>
      </w:pPr>
      <w:r>
        <w:rPr>
          <w:sz w:val="20"/>
          <w:szCs w:val="20"/>
          <w:lang w:val="en-GB"/>
        </w:rPr>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8"/>
        <w:gridCol w:w="993"/>
        <w:gridCol w:w="709"/>
        <w:gridCol w:w="708"/>
        <w:gridCol w:w="709"/>
        <w:gridCol w:w="708"/>
        <w:gridCol w:w="709"/>
        <w:gridCol w:w="709"/>
        <w:gridCol w:w="992"/>
        <w:gridCol w:w="709"/>
        <w:gridCol w:w="709"/>
        <w:gridCol w:w="708"/>
        <w:gridCol w:w="709"/>
        <w:gridCol w:w="708"/>
        <w:gridCol w:w="711"/>
      </w:tblGrid>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2" w:type="dxa"/>
            <w:gridSpan w:val="2"/>
            <w:tcBorders>
              <w:left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8" w:type="dx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1" w:type="dx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8"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3"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8"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left w:val="single" w:sz="4" w:space="0" w:color="00000A"/>
              <w:bottom w:val="single" w:sz="4" w:space="0" w:color="00000A"/>
              <w:insideH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9" w:type="dxa"/>
            <w:tcBorders>
              <w:bottom w:val="single" w:sz="4" w:space="0" w:color="00000A"/>
              <w:insideH w:val="single" w:sz="4" w:space="0" w:color="00000A"/>
            </w:tcBorders>
            <w:shd w:color="auto" w:fill="auto" w:val="cle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1" w:type="dxa"/>
            <w:tcBorders>
              <w:bottom w:val="single" w:sz="4" w:space="0" w:color="00000A"/>
              <w:insideH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shd w:color="auto" w:fill="auto" w:val="cle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shd w:color="auto" w:fill="auto" w:val="cle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shd w:color="auto" w:fill="auto" w:val="cle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3"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8" w:type="dxa"/>
            <w:tcBorders/>
            <w:shd w:color="auto" w:fill="auto" w:val="cle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1" w:type="dxa"/>
            <w:tcBorders/>
            <w:shd w:color="auto" w:fill="auto" w:val="cle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3"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8"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1"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8"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3"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8"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shd w:color="auto" w:fill="auto" w:val="cle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shd w:color="auto" w:fill="auto" w:val="cle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9"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1" w:type="dxa"/>
            <w:tcBorders/>
            <w:shd w:color="auto" w:fill="auto" w:val="cle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7" w:name="_Toc382138194"/>
      <w:bookmarkStart w:id="158" w:name="_Toc381257047"/>
      <w:bookmarkEnd w:id="157"/>
      <w:bookmarkEnd w:id="158"/>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7"/>
        <w:gridCol w:w="567"/>
        <w:gridCol w:w="567"/>
        <w:gridCol w:w="567"/>
        <w:gridCol w:w="1131"/>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1"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1" w:type="dxa"/>
            <w:tcBorders>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1"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1"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1"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1"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1"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1"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1"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1"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1"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18"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pStyle w:val="Normal"/>
        <w:rPr>
          <w:lang w:val="en-GB"/>
        </w:rPr>
      </w:pPr>
      <w:r>
        <w:rPr>
          <w:lang w:val="en-GB"/>
        </w:rPr>
      </w:r>
    </w:p>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3"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159" w:name="_Toc382138195"/>
      <w:bookmarkEnd w:id="159"/>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160" w:name="_Toc460593290"/>
      <w:bookmarkStart w:id="161" w:name="_Toc460593290"/>
      <w:bookmarkEnd w:id="161"/>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162" w:name="_Toc460593292"/>
      <w:bookmarkEnd w:id="162"/>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163" w:name="__Fieldmark__12072_903549581"/>
      <w:r>
        <w:rPr>
          <w:rFonts w:cs="Times New Roman" w:ascii="Times New Roman" w:hAnsi="Times New Roman"/>
        </w:rPr>
        <w:t>[1]</w:t>
      </w:r>
      <w:r>
        <w:rPr>
          <w:rFonts w:cs="Times New Roman" w:ascii="Times New Roman" w:hAnsi="Times New Roman"/>
        </w:rPr>
      </w:r>
      <w:r>
        <w:fldChar w:fldCharType="end"/>
      </w:r>
      <w:bookmarkEnd w:id="163"/>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164" w:name="__Fieldmark__12077_903549581"/>
      <w:r>
        <w:rPr>
          <w:rFonts w:cs="Times New Roman" w:ascii="Times New Roman" w:hAnsi="Times New Roman"/>
        </w:rPr>
        <w:t>[2]</w:t>
      </w:r>
      <w:r>
        <w:rPr>
          <w:rFonts w:cs="Times New Roman" w:ascii="Times New Roman" w:hAnsi="Times New Roman"/>
        </w:rPr>
      </w:r>
      <w:r>
        <w:fldChar w:fldCharType="end"/>
      </w:r>
      <w:bookmarkEnd w:id="164"/>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165" w:name="__Fieldmark__12082_903549581"/>
      <w:r>
        <w:rPr>
          <w:rFonts w:cs="Times New Roman" w:ascii="Times New Roman" w:hAnsi="Times New Roman"/>
        </w:rPr>
        <w:t>[3]</w:t>
      </w:r>
      <w:r>
        <w:rPr>
          <w:rFonts w:cs="Times New Roman" w:ascii="Times New Roman" w:hAnsi="Times New Roman"/>
        </w:rPr>
      </w:r>
      <w:r>
        <w:fldChar w:fldCharType="end"/>
      </w:r>
      <w:bookmarkEnd w:id="165"/>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166" w:name="__Fieldmark__12087_903549581"/>
      <w:r>
        <w:rPr>
          <w:rFonts w:cs="Times New Roman" w:ascii="Times New Roman" w:hAnsi="Times New Roman"/>
        </w:rPr>
        <w:t>[4]</w:t>
      </w:r>
      <w:r>
        <w:rPr>
          <w:rFonts w:cs="Times New Roman" w:ascii="Times New Roman" w:hAnsi="Times New Roman"/>
        </w:rPr>
      </w:r>
      <w:r>
        <w:fldChar w:fldCharType="end"/>
      </w:r>
      <w:bookmarkEnd w:id="166"/>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167" w:name="__Fieldmark__12092_903549581"/>
      <w:r>
        <w:rPr>
          <w:rFonts w:cs="Times New Roman" w:ascii="Times New Roman" w:hAnsi="Times New Roman"/>
        </w:rPr>
        <w:t>[5]</w:t>
      </w:r>
      <w:r>
        <w:rPr>
          <w:rFonts w:cs="Times New Roman" w:ascii="Times New Roman" w:hAnsi="Times New Roman"/>
        </w:rPr>
      </w:r>
      <w:r>
        <w:fldChar w:fldCharType="end"/>
      </w:r>
      <w:bookmarkEnd w:id="167"/>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168" w:name="__Fieldmark__12099_903549581"/>
      <w:r>
        <w:rPr>
          <w:rFonts w:cs="Times New Roman" w:ascii="Times New Roman" w:hAnsi="Times New Roman"/>
        </w:rPr>
        <w:t>[6,7]</w:t>
      </w:r>
      <w:r>
        <w:rPr>
          <w:rFonts w:cs="Times New Roman" w:ascii="Times New Roman" w:hAnsi="Times New Roman"/>
        </w:rPr>
      </w:r>
      <w:r>
        <w:fldChar w:fldCharType="end"/>
      </w:r>
      <w:bookmarkEnd w:id="168"/>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169" w:name="__Fieldmark__12104_903549581"/>
      <w:r>
        <w:rPr>
          <w:rFonts w:cs="Times New Roman" w:ascii="Times New Roman" w:hAnsi="Times New Roman"/>
        </w:rPr>
        <w:t>[8]</w:t>
      </w:r>
      <w:r>
        <w:rPr>
          <w:rFonts w:cs="Times New Roman" w:ascii="Times New Roman" w:hAnsi="Times New Roman"/>
        </w:rPr>
      </w:r>
      <w:r>
        <w:fldChar w:fldCharType="end"/>
      </w:r>
      <w:bookmarkEnd w:id="169"/>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170" w:name="__Fieldmark__12109_903549581"/>
      <w:r>
        <w:rPr>
          <w:rFonts w:cs="Times New Roman" w:ascii="Times New Roman" w:hAnsi="Times New Roman"/>
        </w:rPr>
        <w:t>[9,10]</w:t>
      </w:r>
      <w:r>
        <w:rPr>
          <w:rFonts w:cs="Times New Roman" w:ascii="Times New Roman" w:hAnsi="Times New Roman"/>
        </w:rPr>
      </w:r>
      <w:r>
        <w:fldChar w:fldCharType="end"/>
      </w:r>
      <w:bookmarkEnd w:id="170"/>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171" w:name="__Fieldmark__12116_903549581"/>
      <w:r>
        <w:rPr>
          <w:rFonts w:cs="Times New Roman" w:ascii="Times New Roman" w:hAnsi="Times New Roman"/>
        </w:rPr>
        <w:t>[11]</w:t>
      </w:r>
      <w:r>
        <w:rPr>
          <w:rFonts w:cs="Times New Roman" w:ascii="Times New Roman" w:hAnsi="Times New Roman"/>
        </w:rPr>
      </w:r>
      <w:r>
        <w:fldChar w:fldCharType="end"/>
      </w:r>
      <w:bookmarkEnd w:id="17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172" w:name="__Fieldmark__12122_903549581"/>
      <w:r>
        <w:rPr>
          <w:rFonts w:cs="Times New Roman" w:ascii="Times New Roman" w:hAnsi="Times New Roman"/>
        </w:rPr>
        <w:t>[12]</w:t>
      </w:r>
      <w:r>
        <w:rPr>
          <w:rFonts w:cs="Times New Roman" w:ascii="Times New Roman" w:hAnsi="Times New Roman"/>
        </w:rPr>
      </w:r>
      <w:r>
        <w:fldChar w:fldCharType="end"/>
      </w:r>
      <w:bookmarkEnd w:id="172"/>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173" w:name="__Fieldmark__12127_903549581"/>
      <w:r>
        <w:rPr>
          <w:rFonts w:cs="Times New Roman" w:ascii="Times New Roman" w:hAnsi="Times New Roman"/>
        </w:rPr>
        <w:t>[5]</w:t>
      </w:r>
      <w:r>
        <w:rPr>
          <w:rFonts w:cs="Times New Roman" w:ascii="Times New Roman" w:hAnsi="Times New Roman"/>
        </w:rPr>
      </w:r>
      <w:r>
        <w:fldChar w:fldCharType="end"/>
      </w:r>
      <w:bookmarkEnd w:id="173"/>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174" w:name="__Fieldmark__12132_903549581"/>
      <w:r>
        <w:rPr>
          <w:rFonts w:cs="Times New Roman" w:ascii="Times New Roman" w:hAnsi="Times New Roman"/>
        </w:rPr>
        <w:t>[13]</w:t>
      </w:r>
      <w:r>
        <w:rPr>
          <w:rFonts w:cs="Times New Roman" w:ascii="Times New Roman" w:hAnsi="Times New Roman"/>
        </w:rPr>
      </w:r>
      <w:r>
        <w:fldChar w:fldCharType="end"/>
      </w:r>
      <w:bookmarkEnd w:id="174"/>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175" w:name="__Fieldmark__12141_903549581"/>
      <w:r>
        <w:rPr>
          <w:rFonts w:cs="Times New Roman" w:ascii="Times New Roman" w:hAnsi="Times New Roman"/>
        </w:rPr>
        <w:t>[14]</w:t>
      </w:r>
      <w:r>
        <w:rPr>
          <w:rFonts w:cs="Times New Roman" w:ascii="Times New Roman" w:hAnsi="Times New Roman"/>
        </w:rPr>
      </w:r>
      <w:r>
        <w:fldChar w:fldCharType="end"/>
      </w:r>
      <w:bookmarkEnd w:id="175"/>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176" w:name="__Fieldmark__12146_903549581"/>
      <w:r>
        <w:rPr>
          <w:rFonts w:cs="Times New Roman" w:ascii="Times New Roman" w:hAnsi="Times New Roman"/>
        </w:rPr>
        <w:t>[15]</w:t>
      </w:r>
      <w:r>
        <w:rPr>
          <w:rFonts w:cs="Times New Roman" w:ascii="Times New Roman" w:hAnsi="Times New Roman"/>
        </w:rPr>
      </w:r>
      <w:r>
        <w:fldChar w:fldCharType="end"/>
      </w:r>
      <w:bookmarkEnd w:id="176"/>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177" w:name="__Fieldmark__12151_903549581"/>
      <w:r>
        <w:rPr>
          <w:rFonts w:cs="Times New Roman" w:ascii="Times New Roman" w:hAnsi="Times New Roman"/>
        </w:rPr>
        <w:t>[16]</w:t>
      </w:r>
      <w:r>
        <w:rPr>
          <w:rFonts w:cs="Times New Roman" w:ascii="Times New Roman" w:hAnsi="Times New Roman"/>
        </w:rPr>
      </w:r>
      <w:r>
        <w:fldChar w:fldCharType="end"/>
      </w:r>
      <w:bookmarkEnd w:id="177"/>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178" w:name="__Fieldmark__12156_903549581"/>
      <w:r>
        <w:rPr>
          <w:rFonts w:cs="Times New Roman" w:ascii="Times New Roman" w:hAnsi="Times New Roman"/>
        </w:rPr>
        <w:t>[17–20]</w:t>
      </w:r>
      <w:r>
        <w:rPr>
          <w:rFonts w:cs="Times New Roman" w:ascii="Times New Roman" w:hAnsi="Times New Roman"/>
        </w:rPr>
      </w:r>
      <w:r>
        <w:fldChar w:fldCharType="end"/>
      </w:r>
      <w:bookmarkEnd w:id="178"/>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179" w:name="__Fieldmark__12163_903549581"/>
      <w:r>
        <w:rPr>
          <w:rFonts w:cs="Times New Roman" w:ascii="Times New Roman" w:hAnsi="Times New Roman"/>
        </w:rPr>
        <w:t>[21]</w:t>
      </w:r>
      <w:r>
        <w:rPr>
          <w:rFonts w:cs="Times New Roman" w:ascii="Times New Roman" w:hAnsi="Times New Roman"/>
        </w:rPr>
      </w:r>
      <w:r>
        <w:fldChar w:fldCharType="end"/>
      </w:r>
      <w:bookmarkEnd w:id="179"/>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180" w:name="__Fieldmark__12168_903549581"/>
      <w:r>
        <w:rPr>
          <w:rFonts w:cs="Times New Roman" w:ascii="Times New Roman" w:hAnsi="Times New Roman"/>
        </w:rPr>
        <w:t>[4]</w:t>
      </w:r>
      <w:r>
        <w:rPr>
          <w:rFonts w:cs="Times New Roman" w:ascii="Times New Roman" w:hAnsi="Times New Roman"/>
        </w:rPr>
      </w:r>
      <w:r>
        <w:fldChar w:fldCharType="end"/>
      </w:r>
      <w:bookmarkEnd w:id="180"/>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181" w:name="__Fieldmark__12174_903549581"/>
      <w:r>
        <w:rPr>
          <w:rFonts w:cs="Times New Roman" w:ascii="Times New Roman" w:hAnsi="Times New Roman"/>
        </w:rPr>
        <w:t>[22]</w:t>
      </w:r>
      <w:r>
        <w:rPr>
          <w:rFonts w:cs="Times New Roman" w:ascii="Times New Roman" w:hAnsi="Times New Roman"/>
        </w:rPr>
      </w:r>
      <w:r>
        <w:fldChar w:fldCharType="end"/>
      </w:r>
      <w:bookmarkEnd w:id="18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182" w:name="__Fieldmark__12179_903549581"/>
      <w:r>
        <w:rPr>
          <w:rFonts w:cs="Times New Roman" w:ascii="Times New Roman" w:hAnsi="Times New Roman"/>
        </w:rPr>
        <w:t>[23]</w:t>
      </w:r>
      <w:r>
        <w:rPr>
          <w:rFonts w:cs="Times New Roman" w:ascii="Times New Roman" w:hAnsi="Times New Roman"/>
        </w:rPr>
      </w:r>
      <w:r>
        <w:fldChar w:fldCharType="end"/>
      </w:r>
      <w:bookmarkEnd w:id="182"/>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183" w:name="__Fieldmark__12184_903549581"/>
      <w:r>
        <w:rPr>
          <w:rFonts w:cs="Times New Roman" w:ascii="Times New Roman" w:hAnsi="Times New Roman"/>
        </w:rPr>
        <w:t>[22]</w:t>
      </w:r>
      <w:r>
        <w:rPr>
          <w:rFonts w:cs="Times New Roman" w:ascii="Times New Roman" w:hAnsi="Times New Roman"/>
        </w:rPr>
      </w:r>
      <w:r>
        <w:fldChar w:fldCharType="end"/>
      </w:r>
      <w:bookmarkEnd w:id="183"/>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bookmarkStart w:id="184" w:name="_Toc460593294"/>
      <w:bookmarkStart w:id="185" w:name="_Toc460593294"/>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186" w:name="_Toc460593294"/>
      <w:bookmarkEnd w:id="18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187" w:name="_Toc460593295"/>
      <w:bookmarkEnd w:id="18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188" w:name="__Fieldmark__12197_903549581"/>
      <w:r>
        <w:rPr>
          <w:rFonts w:cs="Times New Roman" w:ascii="Times New Roman" w:hAnsi="Times New Roman"/>
        </w:rPr>
        <w:t>[24]</w:t>
      </w:r>
      <w:r>
        <w:rPr>
          <w:rFonts w:cs="Times New Roman" w:ascii="Times New Roman" w:hAnsi="Times New Roman"/>
        </w:rPr>
      </w:r>
      <w:r>
        <w:fldChar w:fldCharType="end"/>
      </w:r>
      <w:bookmarkEnd w:id="188"/>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189" w:name="__Fieldmark__12202_903549581"/>
      <w:r>
        <w:rPr>
          <w:rFonts w:cs="Times New Roman" w:ascii="Times New Roman" w:hAnsi="Times New Roman"/>
        </w:rPr>
        <w:t>[24]</w:t>
      </w:r>
      <w:r>
        <w:rPr>
          <w:rFonts w:cs="Times New Roman" w:ascii="Times New Roman" w:hAnsi="Times New Roman"/>
        </w:rPr>
      </w:r>
      <w:r>
        <w:fldChar w:fldCharType="end"/>
      </w:r>
      <w:bookmarkEnd w:id="189"/>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190" w:name="__Fieldmark__12209_903549581"/>
      <w:r>
        <w:rPr>
          <w:rFonts w:cs="Times New Roman" w:ascii="Times New Roman" w:hAnsi="Times New Roman"/>
        </w:rPr>
        <w:t>[22,24]</w:t>
      </w:r>
      <w:r>
        <w:rPr>
          <w:rFonts w:cs="Times New Roman" w:ascii="Times New Roman" w:hAnsi="Times New Roman"/>
        </w:rPr>
      </w:r>
      <w:r>
        <w:fldChar w:fldCharType="end"/>
      </w:r>
      <w:bookmarkEnd w:id="190"/>
      <w:r>
        <w:rPr>
          <w:rFonts w:cs="Times New Roman" w:ascii="Times New Roman" w:hAnsi="Times New Roman"/>
        </w:rPr>
        <w:t xml:space="preserve">. </w:t>
      </w:r>
      <w:bookmarkStart w:id="191"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192" w:name="__Fieldmark__12216_903549581"/>
      <w:r>
        <w:rPr>
          <w:rFonts w:cs="Times New Roman" w:ascii="Times New Roman" w:hAnsi="Times New Roman"/>
        </w:rPr>
        <w:t>[24]</w:t>
      </w:r>
      <w:r>
        <w:rPr>
          <w:rFonts w:cs="Times New Roman" w:ascii="Times New Roman" w:hAnsi="Times New Roman"/>
        </w:rPr>
      </w:r>
      <w:r>
        <w:fldChar w:fldCharType="end"/>
      </w:r>
      <w:bookmarkEnd w:id="192"/>
      <w:r>
        <w:rPr>
          <w:rFonts w:cs="Times New Roman" w:ascii="Times New Roman" w:hAnsi="Times New Roman"/>
        </w:rPr>
        <w:t>.</w:t>
      </w:r>
      <w:bookmarkEnd w:id="191"/>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193" w:name="__Fieldmark__12227_903549581"/>
      <w:r>
        <w:rPr>
          <w:rFonts w:cs="Times New Roman" w:ascii="Times New Roman" w:hAnsi="Times New Roman"/>
        </w:rPr>
        <w:t>[25]</w:t>
      </w:r>
      <w:r>
        <w:rPr>
          <w:rFonts w:cs="Times New Roman" w:ascii="Times New Roman" w:hAnsi="Times New Roman"/>
        </w:rPr>
      </w:r>
      <w:r>
        <w:fldChar w:fldCharType="end"/>
      </w:r>
      <w:bookmarkEnd w:id="193"/>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194" w:name="_Toc460593296"/>
      <w:bookmarkEnd w:id="194"/>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195" w:name="__Fieldmark__12237_903549581"/>
      <w:r>
        <w:rPr>
          <w:rFonts w:cs="Times New Roman" w:ascii="Times New Roman" w:hAnsi="Times New Roman"/>
        </w:rPr>
        <w:t>[26]</w:t>
      </w:r>
      <w:r>
        <w:rPr>
          <w:rFonts w:cs="Times New Roman" w:ascii="Times New Roman" w:hAnsi="Times New Roman"/>
        </w:rPr>
      </w:r>
      <w:r>
        <w:fldChar w:fldCharType="end"/>
      </w:r>
      <w:bookmarkEnd w:id="195"/>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196" w:name="__Fieldmark__12243_903549581"/>
      <w:r>
        <w:rPr>
          <w:rFonts w:cs="Times New Roman" w:ascii="Times New Roman" w:hAnsi="Times New Roman"/>
        </w:rPr>
        <w:t>[22,27]</w:t>
      </w:r>
      <w:r>
        <w:rPr>
          <w:rFonts w:cs="Times New Roman" w:ascii="Times New Roman" w:hAnsi="Times New Roman"/>
        </w:rPr>
      </w:r>
      <w:r>
        <w:fldChar w:fldCharType="end"/>
      </w:r>
      <w:bookmarkEnd w:id="196"/>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197" w:name="__Fieldmark__12256_903549581"/>
      <w:r>
        <w:rPr>
          <w:rFonts w:cs="Times New Roman" w:ascii="Times New Roman" w:hAnsi="Times New Roman"/>
        </w:rPr>
        <w:t>[28]</w:t>
      </w:r>
      <w:r>
        <w:rPr>
          <w:rFonts w:cs="Times New Roman" w:ascii="Times New Roman" w:hAnsi="Times New Roman"/>
        </w:rPr>
      </w:r>
      <w:r>
        <w:fldChar w:fldCharType="end"/>
      </w:r>
      <w:bookmarkEnd w:id="197"/>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198" w:name="__Fieldmark__12261_903549581"/>
      <w:r>
        <w:rPr>
          <w:rFonts w:cs="Times New Roman" w:ascii="Times New Roman" w:hAnsi="Times New Roman"/>
        </w:rPr>
        <w:t>[19]</w:t>
      </w:r>
      <w:r>
        <w:rPr>
          <w:rFonts w:cs="Times New Roman" w:ascii="Times New Roman" w:hAnsi="Times New Roman"/>
        </w:rPr>
      </w:r>
      <w:r>
        <w:fldChar w:fldCharType="end"/>
      </w:r>
      <w:bookmarkEnd w:id="198"/>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199" w:name="__Fieldmark__12266_903549581"/>
      <w:r>
        <w:rPr>
          <w:rFonts w:cs="Times New Roman" w:ascii="Times New Roman" w:hAnsi="Times New Roman"/>
        </w:rPr>
        <w:t>[28]</w:t>
      </w:r>
      <w:r>
        <w:rPr>
          <w:rFonts w:cs="Times New Roman" w:ascii="Times New Roman" w:hAnsi="Times New Roman"/>
        </w:rPr>
      </w:r>
      <w:r>
        <w:fldChar w:fldCharType="end"/>
      </w:r>
      <w:bookmarkEnd w:id="19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200" w:name="__Fieldmark__12274_903549581"/>
      <w:r>
        <w:rPr>
          <w:rFonts w:cs="Times New Roman" w:ascii="Times New Roman" w:hAnsi="Times New Roman"/>
        </w:rPr>
        <w:t>[29]</w:t>
      </w:r>
      <w:r>
        <w:rPr>
          <w:rFonts w:cs="Times New Roman" w:ascii="Times New Roman" w:hAnsi="Times New Roman"/>
        </w:rPr>
      </w:r>
      <w:r>
        <w:fldChar w:fldCharType="end"/>
      </w:r>
      <w:bookmarkEnd w:id="200"/>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201" w:name="__Fieldmark__12279_903549581"/>
      <w:r>
        <w:rPr>
          <w:rFonts w:cs="Times New Roman" w:ascii="Times New Roman" w:hAnsi="Times New Roman"/>
        </w:rPr>
        <w:t>[30]</w:t>
      </w:r>
      <w:r>
        <w:rPr>
          <w:rFonts w:cs="Times New Roman" w:ascii="Times New Roman" w:hAnsi="Times New Roman"/>
        </w:rPr>
      </w:r>
      <w:r>
        <w:fldChar w:fldCharType="end"/>
      </w:r>
      <w:bookmarkEnd w:id="201"/>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202" w:name="__Fieldmark__12286_903549581"/>
      <w:r>
        <w:rPr>
          <w:rFonts w:cs="Times New Roman" w:ascii="Times New Roman" w:hAnsi="Times New Roman"/>
        </w:rPr>
        <w:t>[30]</w:t>
      </w:r>
      <w:r>
        <w:rPr>
          <w:rFonts w:cs="Times New Roman" w:ascii="Times New Roman" w:hAnsi="Times New Roman"/>
        </w:rPr>
      </w:r>
      <w:r>
        <w:fldChar w:fldCharType="end"/>
      </w:r>
      <w:bookmarkEnd w:id="202"/>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203" w:name="__Fieldmark__12291_903549581"/>
      <w:r>
        <w:rPr>
          <w:rFonts w:cs="Times New Roman" w:ascii="Times New Roman" w:hAnsi="Times New Roman"/>
        </w:rPr>
        <w:t>[13]</w:t>
      </w:r>
      <w:r>
        <w:rPr>
          <w:rFonts w:cs="Times New Roman" w:ascii="Times New Roman" w:hAnsi="Times New Roman"/>
        </w:rPr>
      </w:r>
      <w:r>
        <w:fldChar w:fldCharType="end"/>
      </w:r>
      <w:bookmarkEnd w:id="203"/>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204" w:name="__Fieldmark__12298_903549581"/>
      <w:r>
        <w:rPr>
          <w:rFonts w:cs="Times New Roman" w:ascii="Times New Roman" w:hAnsi="Times New Roman"/>
        </w:rPr>
        <w:t>[18]</w:t>
      </w:r>
      <w:r>
        <w:rPr>
          <w:rFonts w:cs="Times New Roman" w:ascii="Times New Roman" w:hAnsi="Times New Roman"/>
        </w:rPr>
      </w:r>
      <w:r>
        <w:fldChar w:fldCharType="end"/>
      </w:r>
      <w:bookmarkEnd w:id="204"/>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205" w:name="__Fieldmark__12303_903549581"/>
      <w:r>
        <w:rPr>
          <w:rFonts w:cs="Times New Roman" w:ascii="Times New Roman" w:hAnsi="Times New Roman"/>
        </w:rPr>
        <w:t>[17,19]</w:t>
      </w:r>
      <w:r>
        <w:rPr>
          <w:rFonts w:cs="Times New Roman" w:ascii="Times New Roman" w:hAnsi="Times New Roman"/>
        </w:rPr>
      </w:r>
      <w:r>
        <w:fldChar w:fldCharType="end"/>
      </w:r>
      <w:bookmarkEnd w:id="205"/>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206" w:name="__Fieldmark__12309_903549581"/>
      <w:r>
        <w:rPr>
          <w:rFonts w:cs="Times New Roman" w:ascii="Times New Roman" w:hAnsi="Times New Roman"/>
        </w:rPr>
        <w:t>[17,19]</w:t>
      </w:r>
      <w:r>
        <w:rPr>
          <w:rFonts w:cs="Times New Roman" w:ascii="Times New Roman" w:hAnsi="Times New Roman"/>
        </w:rPr>
      </w:r>
      <w:r>
        <w:fldChar w:fldCharType="end"/>
      </w:r>
      <w:bookmarkEnd w:id="206"/>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207" w:name="__Fieldmark__12314_903549581"/>
      <w:r>
        <w:rPr>
          <w:rFonts w:cs="Times New Roman" w:ascii="Times New Roman" w:hAnsi="Times New Roman"/>
        </w:rPr>
        <w:t>[31]</w:t>
      </w:r>
      <w:r>
        <w:rPr>
          <w:rFonts w:cs="Times New Roman" w:ascii="Times New Roman" w:hAnsi="Times New Roman"/>
        </w:rPr>
      </w:r>
      <w:r>
        <w:fldChar w:fldCharType="end"/>
      </w:r>
      <w:bookmarkEnd w:id="207"/>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208" w:name="__Fieldmark__12321_903549581"/>
      <w:r>
        <w:rPr>
          <w:rFonts w:cs="Times New Roman" w:ascii="Times New Roman" w:hAnsi="Times New Roman"/>
        </w:rPr>
        <w:t>[32,33]</w:t>
      </w:r>
      <w:r>
        <w:rPr>
          <w:rFonts w:cs="Times New Roman" w:ascii="Times New Roman" w:hAnsi="Times New Roman"/>
        </w:rPr>
      </w:r>
      <w:r>
        <w:fldChar w:fldCharType="end"/>
      </w:r>
      <w:bookmarkEnd w:id="208"/>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209" w:name="__Fieldmark__12326_903549581"/>
      <w:r>
        <w:rPr>
          <w:rFonts w:cs="Times New Roman" w:ascii="Times New Roman" w:hAnsi="Times New Roman"/>
        </w:rPr>
        <w:t>[33]</w:t>
      </w:r>
      <w:r>
        <w:rPr>
          <w:rFonts w:cs="Times New Roman" w:ascii="Times New Roman" w:hAnsi="Times New Roman"/>
        </w:rPr>
      </w:r>
      <w:r>
        <w:fldChar w:fldCharType="end"/>
      </w:r>
      <w:bookmarkEnd w:id="20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210" w:name="__Fieldmark__12331_903549581"/>
      <w:r>
        <w:rPr>
          <w:rFonts w:cs="Times New Roman" w:ascii="Times New Roman" w:hAnsi="Times New Roman"/>
        </w:rPr>
        <w:t>[32]</w:t>
      </w:r>
      <w:r>
        <w:rPr>
          <w:rFonts w:cs="Times New Roman" w:ascii="Times New Roman" w:hAnsi="Times New Roman"/>
        </w:rPr>
      </w:r>
      <w:r>
        <w:fldChar w:fldCharType="end"/>
      </w:r>
      <w:bookmarkEnd w:id="210"/>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211" w:name="__Fieldmark__12340_903549581"/>
      <w:r>
        <w:rPr>
          <w:rFonts w:cs="Times New Roman" w:ascii="Times New Roman" w:hAnsi="Times New Roman"/>
        </w:rPr>
        <w:t>[13,20]</w:t>
      </w:r>
      <w:r>
        <w:rPr>
          <w:rFonts w:cs="Times New Roman" w:ascii="Times New Roman" w:hAnsi="Times New Roman"/>
        </w:rPr>
      </w:r>
      <w:r>
        <w:fldChar w:fldCharType="end"/>
      </w:r>
      <w:bookmarkEnd w:id="211"/>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212" w:name="__Fieldmark__12346_903549581"/>
      <w:r>
        <w:rPr>
          <w:rFonts w:cs="Times New Roman" w:ascii="Times New Roman" w:hAnsi="Times New Roman"/>
        </w:rPr>
        <w:t>[17]</w:t>
      </w:r>
      <w:r>
        <w:rPr>
          <w:rFonts w:cs="Times New Roman" w:ascii="Times New Roman" w:hAnsi="Times New Roman"/>
        </w:rPr>
      </w:r>
      <w:r>
        <w:fldChar w:fldCharType="end"/>
      </w:r>
      <w:bookmarkEnd w:id="212"/>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endChr m:val=")"/>
                      </m:dPr>
                      <m:e/>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213" w:name="__Fieldmark__12366_903549581"/>
      <w:r>
        <w:rPr>
          <w:rFonts w:cs="Times New Roman" w:ascii="Times New Roman" w:hAnsi="Times New Roman"/>
        </w:rPr>
        <w:t>[34]</w:t>
      </w:r>
      <w:r>
        <w:rPr>
          <w:rFonts w:cs="Times New Roman" w:ascii="Times New Roman" w:hAnsi="Times New Roman"/>
        </w:rPr>
      </w:r>
      <w:r>
        <w:fldChar w:fldCharType="end"/>
      </w:r>
      <w:bookmarkEnd w:id="213"/>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214" w:name="_Toc460593298"/>
      <w:bookmarkEnd w:id="214"/>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215" w:name="_Toc460593299"/>
      <w:bookmarkEnd w:id="215"/>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216" w:name="__Fieldmark__12379_903549581"/>
      <w:r>
        <w:rPr>
          <w:rFonts w:cs="Times New Roman" w:ascii="Times New Roman" w:hAnsi="Times New Roman"/>
        </w:rPr>
        <w:t>[22]</w:t>
      </w:r>
      <w:r>
        <w:rPr>
          <w:rFonts w:cs="Times New Roman" w:ascii="Times New Roman" w:hAnsi="Times New Roman"/>
        </w:rPr>
      </w:r>
      <w:r>
        <w:fldChar w:fldCharType="end"/>
      </w:r>
      <w:bookmarkEnd w:id="216"/>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3" w:type="dxa"/>
          <w:bottom w:w="0" w:type="dxa"/>
          <w:right w:w="108" w:type="dxa"/>
        </w:tblCellMar>
        <w:tblLook w:val="04a0" w:noVBand="1" w:noHBand="0" w:lastColumn="0" w:firstColumn="1" w:lastRow="0" w:firstRow="1"/>
      </w:tblPr>
      <w:tblGrid>
        <w:gridCol w:w="4252"/>
        <w:gridCol w:w="2552"/>
        <w:gridCol w:w="2093"/>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2"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3"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3"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217" w:name="_Toc460593305"/>
      <w:bookmarkEnd w:id="217"/>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08" w:type="dxa"/>
          <w:bottom w:w="0" w:type="dxa"/>
          <w:right w:w="108" w:type="dxa"/>
        </w:tblCellMar>
        <w:tblLook w:val="04a0" w:noVBand="1" w:noHBand="0" w:lastColumn="0" w:firstColumn="1" w:lastRow="0" w:firstRow="1"/>
      </w:tblPr>
      <w:tblGrid>
        <w:gridCol w:w="3732"/>
        <w:gridCol w:w="931"/>
        <w:gridCol w:w="1526"/>
        <w:gridCol w:w="202"/>
        <w:gridCol w:w="1371"/>
        <w:gridCol w:w="1194"/>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7"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4"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4"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4"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4"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08"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10795"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26" w:type="dxa"/>
        <w:tblCellMar>
          <w:top w:w="0" w:type="dxa"/>
          <w:left w:w="108" w:type="dxa"/>
          <w:bottom w:w="0" w:type="dxa"/>
          <w:right w:w="108" w:type="dxa"/>
        </w:tblCellMar>
        <w:tblLook w:val="04a0" w:noVBand="1" w:noHBand="0" w:lastColumn="0" w:firstColumn="1" w:lastRow="0" w:firstRow="1"/>
      </w:tblPr>
      <w:tblGrid>
        <w:gridCol w:w="1418"/>
        <w:gridCol w:w="1417"/>
        <w:gridCol w:w="1134"/>
        <w:gridCol w:w="851"/>
        <w:gridCol w:w="850"/>
        <w:gridCol w:w="1418"/>
        <w:gridCol w:w="1133"/>
        <w:gridCol w:w="773"/>
        <w:gridCol w:w="28"/>
        <w:gridCol w:w="758"/>
      </w:tblGrid>
      <w:tr>
        <w:trPr/>
        <w:tc>
          <w:tcPr>
            <w:tcW w:w="9780" w:type="dxa"/>
            <w:gridSpan w:val="10"/>
            <w:tcBorders/>
            <w:shd w:fill="auto" w:val="clear"/>
            <w:tcMar>
              <w:left w:w="108"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8" w:type="dxa"/>
            </w:tcMar>
          </w:tcPr>
          <w:p>
            <w:pPr>
              <w:pStyle w:val="Normal"/>
              <w:spacing w:lineRule="auto" w:line="480"/>
              <w:rPr>
                <w:rFonts w:ascii="Times New Roman" w:hAnsi="Times New Roman"/>
              </w:rPr>
            </w:pPr>
            <w:r>
              <w:rPr>
                <w:rFonts w:ascii="Times New Roman" w:hAnsi="Times New Roman"/>
              </w:rPr>
            </w:r>
          </w:p>
        </w:tc>
        <w:tc>
          <w:tcPr>
            <w:tcW w:w="4252" w:type="dxa"/>
            <w:gridSpan w:val="4"/>
            <w:tcBorders/>
            <w:shd w:fill="auto" w:val="clear"/>
            <w:tcMar>
              <w:left w:w="108" w:type="dxa"/>
            </w:tcMar>
          </w:tcPr>
          <w:p>
            <w:pPr>
              <w:pStyle w:val="Normal"/>
              <w:spacing w:lineRule="auto" w:line="480"/>
              <w:jc w:val="center"/>
              <w:rPr>
                <w:rFonts w:ascii="Times New Roman" w:hAnsi="Times New Roman"/>
              </w:rPr>
            </w:pPr>
            <w:r>
              <w:rPr>
                <w:rFonts w:ascii="Times New Roman" w:hAnsi="Times New Roman"/>
              </w:rPr>
              <w:t>Financial Cost</w:t>
            </w:r>
          </w:p>
        </w:tc>
        <w:tc>
          <w:tcPr>
            <w:tcW w:w="4110" w:type="dxa"/>
            <w:gridSpan w:val="5"/>
            <w:tcBorders/>
            <w:shd w:fill="auto" w:val="clear"/>
            <w:tcMar>
              <w:left w:w="108"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8"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8" w:type="dxa"/>
            </w:tcMar>
          </w:tcPr>
          <w:p>
            <w:pPr>
              <w:pStyle w:val="Normal"/>
              <w:rPr>
                <w:rFonts w:ascii="Times New Roman" w:hAnsi="Times New Roman"/>
              </w:rPr>
            </w:pPr>
            <w:r>
              <w:rPr>
                <w:rFonts w:ascii="Times New Roman" w:hAnsi="Times New Roman"/>
              </w:rPr>
              <w:t>Introduction cost</w:t>
            </w:r>
          </w:p>
        </w:tc>
        <w:tc>
          <w:tcPr>
            <w:tcW w:w="1134" w:type="dxa"/>
            <w:tcBorders/>
            <w:shd w:fill="auto" w:val="clear"/>
            <w:tcMar>
              <w:left w:w="108"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8"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8"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8" w:type="dxa"/>
            </w:tcMar>
          </w:tcPr>
          <w:p>
            <w:pPr>
              <w:pStyle w:val="Normal"/>
              <w:rPr>
                <w:rFonts w:ascii="Times New Roman" w:hAnsi="Times New Roman"/>
              </w:rPr>
            </w:pPr>
            <w:r>
              <w:rPr>
                <w:rFonts w:ascii="Times New Roman" w:hAnsi="Times New Roman"/>
              </w:rPr>
              <w:t>Introduction cost</w:t>
            </w:r>
          </w:p>
        </w:tc>
        <w:tc>
          <w:tcPr>
            <w:tcW w:w="1133" w:type="dxa"/>
            <w:tcBorders/>
            <w:shd w:fill="auto" w:val="clear"/>
            <w:tcMar>
              <w:left w:w="108"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8"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8"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8"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8"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0.80</w:t>
            </w:r>
          </w:p>
        </w:tc>
        <w:tc>
          <w:tcPr>
            <w:tcW w:w="1134"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1.42</w:t>
            </w:r>
          </w:p>
        </w:tc>
        <w:tc>
          <w:tcPr>
            <w:tcW w:w="1133"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8"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1.88</w:t>
            </w:r>
          </w:p>
        </w:tc>
        <w:tc>
          <w:tcPr>
            <w:tcW w:w="1134"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3.32</w:t>
            </w:r>
          </w:p>
        </w:tc>
        <w:tc>
          <w:tcPr>
            <w:tcW w:w="1133"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8"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8"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0.99</w:t>
            </w:r>
          </w:p>
        </w:tc>
        <w:tc>
          <w:tcPr>
            <w:tcW w:w="1134"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1.75</w:t>
            </w:r>
          </w:p>
        </w:tc>
        <w:tc>
          <w:tcPr>
            <w:tcW w:w="1133"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8"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1.88</w:t>
            </w:r>
          </w:p>
        </w:tc>
        <w:tc>
          <w:tcPr>
            <w:tcW w:w="1134"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3.32</w:t>
            </w:r>
          </w:p>
        </w:tc>
        <w:tc>
          <w:tcPr>
            <w:tcW w:w="1133"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8"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218" w:name="_Toc460593306"/>
      <w:bookmarkEnd w:id="218"/>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219" w:name="_Toc460593307"/>
      <w:bookmarkEnd w:id="219"/>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220" w:name="__Fieldmark__12913_903549581"/>
      <w:r>
        <w:rPr>
          <w:rFonts w:cs="Times New Roman" w:ascii="Times New Roman" w:hAnsi="Times New Roman"/>
        </w:rPr>
        <w:t>[17]</w:t>
      </w:r>
      <w:r>
        <w:rPr>
          <w:rFonts w:cs="Times New Roman" w:ascii="Times New Roman" w:hAnsi="Times New Roman"/>
        </w:rPr>
      </w:r>
      <w:r>
        <w:fldChar w:fldCharType="end"/>
      </w:r>
      <w:bookmarkEnd w:id="220"/>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221" w:name="__Fieldmark__12918_903549581"/>
      <w:r>
        <w:rPr>
          <w:rFonts w:cs="Times New Roman" w:ascii="Times New Roman" w:hAnsi="Times New Roman"/>
        </w:rPr>
        <w:t>[13,18–20]</w:t>
      </w:r>
      <w:r>
        <w:rPr>
          <w:rFonts w:cs="Times New Roman" w:ascii="Times New Roman" w:hAnsi="Times New Roman"/>
        </w:rPr>
      </w:r>
      <w:r>
        <w:fldChar w:fldCharType="end"/>
      </w:r>
      <w:bookmarkEnd w:id="221"/>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222" w:name="__Fieldmark__12925_903549581"/>
      <w:r>
        <w:rPr>
          <w:rFonts w:cs="Times New Roman" w:ascii="Times New Roman" w:hAnsi="Times New Roman"/>
        </w:rPr>
        <w:t>[19]</w:t>
      </w:r>
      <w:r>
        <w:rPr>
          <w:rFonts w:cs="Times New Roman" w:ascii="Times New Roman" w:hAnsi="Times New Roman"/>
        </w:rPr>
      </w:r>
      <w:r>
        <w:fldChar w:fldCharType="end"/>
      </w:r>
      <w:bookmarkEnd w:id="222"/>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223" w:name="__Fieldmark__12930_903549581"/>
      <w:r>
        <w:rPr>
          <w:rFonts w:cs="Times New Roman" w:ascii="Times New Roman" w:hAnsi="Times New Roman"/>
        </w:rPr>
        <w:t>[19,20]</w:t>
      </w:r>
      <w:r>
        <w:rPr>
          <w:rFonts w:cs="Times New Roman" w:ascii="Times New Roman" w:hAnsi="Times New Roman"/>
        </w:rPr>
      </w:r>
      <w:r>
        <w:fldChar w:fldCharType="end"/>
      </w:r>
      <w:bookmarkEnd w:id="223"/>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224" w:name="__Fieldmark__12936_903549581"/>
      <w:r>
        <w:rPr>
          <w:rFonts w:cs="Times New Roman" w:ascii="Times New Roman" w:hAnsi="Times New Roman"/>
        </w:rPr>
        <w:t>[17]</w:t>
      </w:r>
      <w:r>
        <w:rPr>
          <w:rFonts w:cs="Times New Roman" w:ascii="Times New Roman" w:hAnsi="Times New Roman"/>
        </w:rPr>
      </w:r>
      <w:r>
        <w:fldChar w:fldCharType="end"/>
      </w:r>
      <w:bookmarkEnd w:id="22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225" w:name="__Fieldmark__12941_903549581"/>
      <w:r>
        <w:rPr>
          <w:rFonts w:cs="Times New Roman" w:ascii="Times New Roman" w:hAnsi="Times New Roman"/>
        </w:rPr>
        <w:t>[17]</w:t>
      </w:r>
      <w:r>
        <w:rPr>
          <w:rFonts w:cs="Times New Roman" w:ascii="Times New Roman" w:hAnsi="Times New Roman"/>
        </w:rPr>
      </w:r>
      <w:r>
        <w:fldChar w:fldCharType="end"/>
      </w:r>
      <w:bookmarkEnd w:id="225"/>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226" w:name="__Fieldmark__12948_903549581"/>
      <w:r>
        <w:rPr>
          <w:rFonts w:cs="Times New Roman" w:ascii="Times New Roman" w:hAnsi="Times New Roman"/>
        </w:rPr>
        <w:t>[12]</w:t>
      </w:r>
      <w:r>
        <w:rPr>
          <w:rFonts w:cs="Times New Roman" w:ascii="Times New Roman" w:hAnsi="Times New Roman"/>
        </w:rPr>
      </w:r>
      <w:r>
        <w:fldChar w:fldCharType="end"/>
      </w:r>
      <w:bookmarkEnd w:id="226"/>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227" w:name="__Fieldmark__12953_903549581"/>
      <w:r>
        <w:rPr>
          <w:rFonts w:cs="Times New Roman" w:ascii="Times New Roman" w:hAnsi="Times New Roman"/>
        </w:rPr>
        <w:t>[22]</w:t>
      </w:r>
      <w:r>
        <w:rPr>
          <w:rFonts w:cs="Times New Roman" w:ascii="Times New Roman" w:hAnsi="Times New Roman"/>
        </w:rPr>
      </w:r>
      <w:r>
        <w:fldChar w:fldCharType="end"/>
      </w:r>
      <w:bookmarkEnd w:id="227"/>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228" w:name="__Fieldmark__12958_903549581"/>
      <w:r>
        <w:rPr>
          <w:rFonts w:cs="Times New Roman" w:ascii="Times New Roman" w:hAnsi="Times New Roman"/>
        </w:rPr>
        <w:t>[35]</w:t>
      </w:r>
      <w:r>
        <w:rPr>
          <w:rFonts w:cs="Times New Roman" w:ascii="Times New Roman" w:hAnsi="Times New Roman"/>
        </w:rPr>
      </w:r>
      <w:r>
        <w:fldChar w:fldCharType="end"/>
      </w:r>
      <w:bookmarkEnd w:id="228"/>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229" w:name="__Fieldmark__12966_903549581"/>
      <w:r>
        <w:rPr>
          <w:rFonts w:cs="Times New Roman" w:ascii="Times New Roman" w:hAnsi="Times New Roman"/>
        </w:rPr>
        <w:t>[17]</w:t>
      </w:r>
      <w:r>
        <w:rPr>
          <w:rFonts w:cs="Times New Roman" w:ascii="Times New Roman" w:hAnsi="Times New Roman"/>
        </w:rPr>
      </w:r>
      <w:r>
        <w:fldChar w:fldCharType="end"/>
      </w:r>
      <w:bookmarkEnd w:id="229"/>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230" w:name="_Toc460593308"/>
      <w:bookmarkEnd w:id="230"/>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231" w:name="__Fieldmark__13025_903549581"/>
      <w:r>
        <w:rPr/>
      </w:r>
      <w:r>
        <w:rPr>
          <w:rFonts w:cs="Times New Roman" w:ascii="Times New Roman" w:hAnsi="Times New Roman"/>
          <w:lang w:val="es-ES"/>
        </w:rPr>
        <w:t xml:space="preserve">1.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231"/>
      <w:r>
        <w:rPr>
          <w:rFonts w:cs="Times New Roman" w:ascii="Times New Roman" w:hAnsi="Times New Roman"/>
          <w:lang w:val="es-ES"/>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2"/>
        <w:gridCol w:w="1346"/>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2"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6"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08"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5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6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6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bottom w:val="single" w:sz="8" w:space="0" w:color="00000A"/>
              <w:right w:val="single" w:sz="4" w:space="0" w:color="00000A"/>
              <w:insideH w:val="single" w:sz="8" w:space="0" w:color="00000A"/>
              <w:insideV w:val="single" w:sz="4"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bottom w:val="single" w:sz="8" w:space="0" w:color="00000A"/>
              <w:right w:val="single" w:sz="4" w:space="0" w:color="00000A"/>
              <w:insideH w:val="single" w:sz="8" w:space="0" w:color="00000A"/>
              <w:insideV w:val="single" w:sz="4"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left w:val="single" w:sz="8" w:space="0" w:color="00000A"/>
              <w:right w:val="single" w:sz="4" w:space="0" w:color="00000A"/>
              <w:insideV w:val="single" w:sz="4" w:space="0" w:color="00000A"/>
            </w:tcBorders>
            <w:shd w:color="000000" w:fill="FFFFFF"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6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bottom w:val="single" w:sz="4" w:space="0" w:color="00000A"/>
              <w:right w:val="single" w:sz="4" w:space="0" w:color="00000A"/>
              <w:insideH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bottom w:val="single" w:sz="4" w:space="0" w:color="00000A"/>
              <w:right w:val="single" w:sz="4" w:space="0" w:color="00000A"/>
              <w:insideH w:val="single" w:sz="4" w:space="0" w:color="00000A"/>
              <w:insideV w:val="single" w:sz="4"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left w:val="single" w:sz="8" w:space="0" w:color="00000A"/>
              <w:right w:val="single" w:sz="4" w:space="0" w:color="00000A"/>
              <w:insideV w:val="single" w:sz="4" w:space="0" w:color="00000A"/>
            </w:tcBorders>
            <w:shd w:color="000000" w:fill="FFFFFF"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left w:val="single" w:sz="8" w:space="0" w:color="00000A"/>
              <w:right w:val="single" w:sz="4" w:space="0" w:color="00000A"/>
              <w:insideV w:val="single" w:sz="4" w:space="0" w:color="00000A"/>
            </w:tcBorders>
            <w:shd w:color="000000" w:fill="FFFFFF" w:val="clear"/>
            <w:tcMar>
              <w:left w:w="6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right w:val="single" w:sz="4" w:space="0" w:color="00000A"/>
              <w:insideV w:val="single" w:sz="4" w:space="0" w:color="00000A"/>
            </w:tcBorders>
            <w:shd w:color="000000" w:fill="FFFFFF"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6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bottom w:val="single" w:sz="4" w:space="0" w:color="00000A"/>
              <w:right w:val="single" w:sz="4" w:space="0" w:color="00000A"/>
              <w:insideH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bottom w:val="single" w:sz="4" w:space="0" w:color="00000A"/>
              <w:right w:val="single" w:sz="4" w:space="0" w:color="00000A"/>
              <w:insideH w:val="single" w:sz="4" w:space="0" w:color="00000A"/>
              <w:insideV w:val="single" w:sz="4"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left w:val="single" w:sz="8" w:space="0" w:color="00000A"/>
              <w:right w:val="single" w:sz="4" w:space="0" w:color="00000A"/>
              <w:insideV w:val="single" w:sz="4" w:space="0" w:color="00000A"/>
            </w:tcBorders>
            <w:shd w:color="000000" w:fill="FFFFFF"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6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bottom w:val="single" w:sz="4" w:space="0" w:color="00000A"/>
              <w:right w:val="single" w:sz="4" w:space="0" w:color="00000A"/>
              <w:insideH w:val="single" w:sz="4" w:space="0" w:color="00000A"/>
              <w:insideV w:val="single" w:sz="4"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bottom w:val="single" w:sz="4" w:space="0" w:color="00000A"/>
              <w:right w:val="single" w:sz="4" w:space="0" w:color="00000A"/>
              <w:insideH w:val="single" w:sz="4" w:space="0" w:color="00000A"/>
              <w:insideV w:val="single" w:sz="4"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left w:val="single" w:sz="8" w:space="0" w:color="00000A"/>
              <w:right w:val="single" w:sz="4" w:space="0" w:color="00000A"/>
              <w:insideV w:val="single" w:sz="4" w:space="0" w:color="00000A"/>
            </w:tcBorders>
            <w:shd w:color="000000" w:fill="FFFFFF"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6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bottom w:val="single" w:sz="4" w:space="0" w:color="00000A"/>
              <w:right w:val="single" w:sz="4" w:space="0" w:color="00000A"/>
              <w:insideH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bottom w:val="single" w:sz="4" w:space="0" w:color="00000A"/>
              <w:right w:val="single" w:sz="4" w:space="0" w:color="00000A"/>
              <w:insideH w:val="single" w:sz="4" w:space="0" w:color="00000A"/>
              <w:insideV w:val="single" w:sz="4"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left w:val="single" w:sz="8" w:space="0" w:color="00000A"/>
              <w:right w:val="single" w:sz="4" w:space="0" w:color="00000A"/>
              <w:insideV w:val="single" w:sz="4" w:space="0" w:color="00000A"/>
            </w:tcBorders>
            <w:shd w:color="000000" w:fill="FFFFFF" w:val="clear"/>
            <w:tcMar>
              <w:left w:w="6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right w:val="single" w:sz="4" w:space="0" w:color="00000A"/>
              <w:insideV w:val="single" w:sz="4"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right w:val="single" w:sz="4" w:space="0" w:color="00000A"/>
              <w:insideV w:val="single" w:sz="4"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right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left w:val="single" w:sz="8" w:space="0" w:color="00000A"/>
              <w:right w:val="single" w:sz="4" w:space="0" w:color="00000A"/>
              <w:insideV w:val="single" w:sz="4" w:space="0" w:color="00000A"/>
            </w:tcBorders>
            <w:shd w:fill="auto" w:val="clear"/>
            <w:tcMar>
              <w:left w:w="6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left w:val="single" w:sz="8" w:space="0" w:color="00000A"/>
              <w:right w:val="single" w:sz="4" w:space="0" w:color="00000A"/>
              <w:insideV w:val="single" w:sz="4" w:space="0" w:color="00000A"/>
            </w:tcBorders>
            <w:shd w:color="000000" w:fill="FFFFFF" w:val="clear"/>
            <w:tcMar>
              <w:left w:w="6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right w:val="single" w:sz="4" w:space="0" w:color="00000A"/>
              <w:insideV w:val="single" w:sz="4" w:space="0" w:color="00000A"/>
            </w:tcBorders>
            <w:shd w:color="000000" w:fill="FFFFFF" w:val="clear"/>
            <w:tcMar>
              <w:left w:w="6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right w:val="single" w:sz="4" w:space="0" w:color="00000A"/>
              <w:insideV w:val="single" w:sz="4"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right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6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bottom w:val="single" w:sz="8" w:space="0" w:color="00000A"/>
              <w:right w:val="single" w:sz="4" w:space="0" w:color="00000A"/>
              <w:insideH w:val="single" w:sz="8" w:space="0" w:color="00000A"/>
              <w:insideV w:val="single" w:sz="4"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bottom w:val="single" w:sz="8" w:space="0" w:color="00000A"/>
              <w:right w:val="single" w:sz="4" w:space="0" w:color="00000A"/>
              <w:insideH w:val="single" w:sz="8" w:space="0" w:color="00000A"/>
              <w:insideV w:val="single" w:sz="4"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5" w:type="dxa"/>
        <w:tblCellMar>
          <w:top w:w="0" w:type="dxa"/>
          <w:left w:w="108" w:type="dxa"/>
          <w:bottom w:w="0" w:type="dxa"/>
          <w:right w:w="108" w:type="dxa"/>
        </w:tblCellMar>
        <w:tblLook w:val="04a0" w:noVBand="1" w:noHBand="0" w:lastColumn="0" w:firstColumn="1" w:lastRow="0" w:firstRow="1"/>
      </w:tblPr>
      <w:tblGrid>
        <w:gridCol w:w="3633"/>
        <w:gridCol w:w="1316"/>
        <w:gridCol w:w="1465"/>
        <w:gridCol w:w="186"/>
        <w:gridCol w:w="1370"/>
        <w:gridCol w:w="1162"/>
      </w:tblGrid>
      <w:tr>
        <w:trPr/>
        <w:tc>
          <w:tcPr>
            <w:tcW w:w="363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8"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2"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2"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2"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2"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2"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32" w:name="_Toc382138196"/>
      <w:bookmarkEnd w:id="232"/>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233"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233"/>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234"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23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235"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235"/>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2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2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237"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237"/>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238"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238"/>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239"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239"/>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240"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240"/>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241"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241"/>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242"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242"/>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243"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243"/>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244"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244"/>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45"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45"/>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24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24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247"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247"/>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48" w:name="_Toc382138197"/>
      <w:bookmarkEnd w:id="248"/>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249" w:name="_GoBack"/>
      <w:bookmarkEnd w:id="249"/>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250" w:name="_Toc382138198"/>
      <w:bookmarkEnd w:id="250"/>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251" w:name="__Fieldmark__16082_903549581"/>
      <w:r>
        <w:rPr/>
      </w:r>
      <w:r>
        <w:rPr>
          <w:rFonts w:ascii="Calibri" w:hAnsi="Calibri"/>
          <w:lang w:val="es-ES"/>
        </w:rPr>
        <w:t xml:space="preserve">Acemoglu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251"/>
      <w:r>
        <w:rPr>
          <w:rFonts w:ascii="Calibri" w:hAnsi="Calibri"/>
          <w:lang w:val="es-ES"/>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252" w:name="_Toc382138199"/>
      <w:bookmarkEnd w:id="252"/>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pBdr/>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swiss"/>
    <w:pitch w:val="variable"/>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w:r>
    <w:r>
      <mc:AlternateContent>
        <mc:Choice Requires="wps">
          <w:drawing>
            <wp:anchor behindDoc="0" distT="0" distB="0" distL="0" distR="0" simplePos="0" locked="0" layoutInCell="1" allowOverlap="1" relativeHeight="130">
              <wp:simplePos x="0" y="0"/>
              <wp:positionH relativeFrom="page">
                <wp:posOffset>4738370</wp:posOffset>
              </wp:positionH>
              <wp:positionV relativeFrom="paragraph">
                <wp:posOffset>-4445</wp:posOffset>
              </wp:positionV>
              <wp:extent cx="2103755" cy="178435"/>
              <wp:effectExtent l="0" t="0" r="0" b="0"/>
              <wp:wrapSquare wrapText="largest"/>
              <wp:docPr id="53" name="Frame1"/>
              <a:graphic xmlns:a="http://schemas.openxmlformats.org/drawingml/2006/main">
                <a:graphicData uri="http://schemas.microsoft.com/office/word/2010/wordprocessingShape">
                  <wps:wsp>
                    <wps:cNvSpPr txBox="1"/>
                    <wps:spPr>
                      <a:xfrm>
                        <a:off x="0" y="0"/>
                        <a:ext cx="2103755" cy="178435"/>
                      </a:xfrm>
                      <a:prstGeom prst="rect"/>
                      <a:solidFill>
                        <a:srgbClr val="FFFFFF">
                          <a:alpha val="0"/>
                        </a:srgbClr>
                      </a:solidFill>
                    </wps:spPr>
                    <wps:txbx>
                      <w:txbxContent>
                        <w:p>
                          <w:pPr>
                            <w:pStyle w:val="Footer"/>
                            <w:pBdr/>
                            <w:jc w:val="right"/>
                            <w:rPr/>
                          </w:pPr>
                          <w:r>
                            <w:rPr>
                              <w:rStyle w:val="Pagenumber"/>
                            </w:rPr>
                            <w:fldChar w:fldCharType="begin"/>
                          </w:r>
                          <w:r>
                            <w:instrText> PAGE </w:instrText>
                          </w:r>
                          <w:r>
                            <w:fldChar w:fldCharType="separate"/>
                          </w:r>
                          <w:r>
                            <w:t>212</w:t>
                          </w:r>
                          <w:r>
                            <w:fldChar w:fldCharType="end"/>
                          </w:r>
                        </w:p>
                      </w:txbxContent>
                    </wps:txbx>
                    <wps:bodyPr anchor="t" lIns="0" tIns="0" rIns="0" bIns="0">
                      <a:spAutoFit/>
                    </wps:bodyPr>
                  </wps:wsp>
                </a:graphicData>
              </a:graphic>
            </wp:anchor>
          </w:drawing>
        </mc:Choice>
        <mc:Fallback>
          <w:pict>
            <v:rect fillcolor="#FFFFFF" style="position:absolute;rotation:0;width:165.65pt;height:14.05pt;mso-wrap-distance-left:0pt;mso-wrap-distance-right:0pt;mso-wrap-distance-top:0pt;mso-wrap-distance-bottom:0pt;margin-top:-0.35pt;mso-position-vertical-relative:text;margin-left:373.1pt;mso-position-horizontal-relative:page">
              <v:fill opacity="0f"/>
              <v:textbox inset="0in,0in,0in,0in">
                <w:txbxContent>
                  <w:p>
                    <w:pPr>
                      <w:pStyle w:val="Footer"/>
                      <w:pBdr/>
                      <w:jc w:val="right"/>
                      <w:rPr/>
                    </w:pPr>
                    <w:r>
                      <w:rPr>
                        <w:rStyle w:val="Pagenumber"/>
                      </w:rPr>
                      <w:fldChar w:fldCharType="begin"/>
                    </w:r>
                    <w:r>
                      <w:instrText> PAGE </w:instrText>
                    </w:r>
                    <w:r>
                      <w:fldChar w:fldCharType="separate"/>
                    </w:r>
                    <w:r>
                      <w:t>212</w:t>
                    </w:r>
                    <w:r>
                      <w:fldChar w:fldCharType="end"/>
                    </w:r>
                  </w:p>
                </w:txbxContent>
              </v:textbox>
              <w10:wrap type="square" side="largest"/>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4"/>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auto"/>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auto"/>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auto"/>
      <w:sz w:val="22"/>
      <w:szCs w:val="22"/>
      <w:lang w:val="en-US" w:eastAsia="en-US" w:bidi="ar-SA"/>
    </w:rPr>
  </w:style>
  <w:style w:type="paragraph" w:styleId="Default" w:customStyle="1">
    <w:name w:val="Default"/>
    <w:qFormat/>
    <w:rsid w:val="00255be1"/>
    <w:pPr>
      <w:widowControl/>
      <w:bidi w:val="0"/>
      <w:jc w:val="left"/>
    </w:pPr>
    <w:rPr>
      <w:rFonts w:ascii="Calibri" w:hAnsi="Calibri" w:cs="Calibri" w:eastAsia="ＭＳ 明朝"/>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Application>LibreOffice/5.1.6.2$Linux_X86_64 LibreOffice_project/10m0$Build-2</Application>
  <Pages>212</Pages>
  <Words>32104</Words>
  <Characters>183472</Characters>
  <CharactersWithSpaces>211662</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2018-04-12T09:55:25Z</dcterms:modified>
  <cp:revision>57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